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Style w:val="4"/>
          <w:rFonts w:hint="eastAsia" w:ascii="宋体" w:hAnsi="宋体" w:eastAsia="宋体"/>
          <w:b/>
          <w:spacing w:val="-8"/>
          <w:kern w:val="0"/>
          <w:sz w:val="40"/>
          <w:szCs w:val="40"/>
          <w:lang w:val="en-US" w:eastAsia="zh-CN"/>
        </w:rPr>
      </w:pPr>
      <w:r>
        <w:rPr>
          <w:rStyle w:val="4"/>
          <w:rFonts w:ascii="宋体" w:hAnsi="宋体"/>
          <w:b/>
          <w:spacing w:val="-8"/>
          <w:kern w:val="0"/>
          <w:sz w:val="40"/>
          <w:szCs w:val="40"/>
        </w:rPr>
        <w:t>晋江学校</w:t>
      </w:r>
      <w:r>
        <w:rPr>
          <w:rStyle w:val="4"/>
          <w:rFonts w:hint="eastAsia" w:ascii="宋体" w:hAnsi="宋体"/>
          <w:b/>
          <w:spacing w:val="-8"/>
          <w:kern w:val="0"/>
          <w:sz w:val="40"/>
          <w:szCs w:val="40"/>
        </w:rPr>
        <w:t>教师</w:t>
      </w:r>
      <w:r>
        <w:rPr>
          <w:rStyle w:val="4"/>
          <w:rFonts w:ascii="宋体" w:hAnsi="宋体"/>
          <w:b/>
          <w:spacing w:val="-8"/>
          <w:kern w:val="0"/>
          <w:sz w:val="40"/>
          <w:szCs w:val="40"/>
        </w:rPr>
        <w:t>政策待遇</w:t>
      </w:r>
      <w:bookmarkStart w:id="0" w:name="_GoBack"/>
      <w:bookmarkEnd w:id="0"/>
    </w:p>
    <w:p>
      <w:pPr>
        <w:widowControl w:val="0"/>
        <w:spacing w:line="560" w:lineRule="exact"/>
        <w:ind w:firstLine="640" w:firstLineChars="200"/>
        <w:jc w:val="left"/>
        <w:rPr>
          <w:rStyle w:val="4"/>
          <w:rFonts w:ascii="仿宋_GB2312" w:hAnsi="仿宋_GB2312" w:eastAsia="仿宋_GB2312" w:cs="仿宋_GB2312"/>
          <w:bCs/>
          <w:kern w:val="0"/>
          <w:sz w:val="32"/>
          <w:szCs w:val="32"/>
        </w:rPr>
      </w:pPr>
    </w:p>
    <w:p>
      <w:pPr>
        <w:widowControl w:val="0"/>
        <w:spacing w:line="560" w:lineRule="exact"/>
        <w:ind w:firstLine="640" w:firstLineChars="200"/>
        <w:jc w:val="left"/>
        <w:rPr>
          <w:rStyle w:val="4"/>
          <w:rFonts w:hint="eastAsia" w:ascii="黑体" w:hAnsi="黑体" w:eastAsia="黑体" w:cs="黑体"/>
        </w:rPr>
      </w:pPr>
      <w:r>
        <w:rPr>
          <w:rStyle w:val="4"/>
          <w:rFonts w:hint="eastAsia" w:ascii="黑体" w:hAnsi="黑体" w:eastAsia="黑体" w:cs="黑体"/>
          <w:bCs/>
          <w:kern w:val="0"/>
          <w:sz w:val="32"/>
          <w:szCs w:val="32"/>
        </w:rPr>
        <w:t>一、</w:t>
      </w:r>
      <w:r>
        <w:rPr>
          <w:rStyle w:val="4"/>
          <w:rFonts w:hint="eastAsia" w:ascii="黑体" w:hAnsi="黑体" w:eastAsia="黑体" w:cs="黑体"/>
          <w:kern w:val="0"/>
          <w:sz w:val="32"/>
          <w:szCs w:val="32"/>
        </w:rPr>
        <w:t>全日制博士毕业生可申请以下政策待遇</w:t>
      </w:r>
    </w:p>
    <w:p>
      <w:pPr>
        <w:widowControl w:val="0"/>
        <w:spacing w:line="560" w:lineRule="exact"/>
        <w:ind w:firstLine="640" w:firstLineChars="200"/>
        <w:jc w:val="left"/>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kern w:val="0"/>
          <w:sz w:val="32"/>
          <w:szCs w:val="32"/>
        </w:rPr>
        <w:t>1.住房保障方面。</w:t>
      </w:r>
      <w:r>
        <w:rPr>
          <w:rStyle w:val="4"/>
          <w:rFonts w:hint="eastAsia" w:ascii="仿宋_GB2312" w:hAnsi="仿宋_GB2312" w:eastAsia="仿宋_GB2312" w:cs="仿宋_GB2312"/>
          <w:bCs/>
          <w:sz w:val="32"/>
          <w:szCs w:val="32"/>
        </w:rPr>
        <w:t>入住学校教师公寓或教师宿舍</w:t>
      </w:r>
    </w:p>
    <w:p>
      <w:pPr>
        <w:widowControl w:val="0"/>
        <w:spacing w:line="560" w:lineRule="exact"/>
        <w:ind w:firstLine="640" w:firstLineChars="200"/>
        <w:jc w:val="left"/>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kern w:val="0"/>
          <w:sz w:val="32"/>
          <w:szCs w:val="32"/>
        </w:rPr>
        <w:t>2.落户支持方面。</w:t>
      </w:r>
      <w:r>
        <w:rPr>
          <w:rStyle w:val="4"/>
          <w:rFonts w:hint="eastAsia" w:ascii="仿宋_GB2312" w:hAnsi="仿宋_GB2312" w:eastAsia="仿宋_GB2312" w:cs="仿宋_GB2312"/>
          <w:bCs/>
          <w:sz w:val="32"/>
          <w:szCs w:val="32"/>
        </w:rPr>
        <w:t>根据自身意愿，自行选择在本人合法稳定住所(含租赁)、就业单位集体户、就业和人事人才中心集体户落户，不受年龄和就业创业限制。</w:t>
      </w:r>
    </w:p>
    <w:p>
      <w:pPr>
        <w:widowControl w:val="0"/>
        <w:spacing w:line="560" w:lineRule="exact"/>
        <w:ind w:firstLine="640" w:firstLineChars="200"/>
        <w:jc w:val="left"/>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kern w:val="0"/>
          <w:sz w:val="32"/>
          <w:szCs w:val="32"/>
        </w:rPr>
        <w:t>3.子女就学方面。子女入幼儿园或就读义务教育学校的，由教育行政部门负责统筹安排到条件较好的优质幼儿园或义务教育学校就读。</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kern w:val="2"/>
          <w:sz w:val="32"/>
          <w:szCs w:val="32"/>
        </w:rPr>
      </w:pPr>
      <w:r>
        <w:rPr>
          <w:rStyle w:val="4"/>
          <w:rFonts w:hint="eastAsia" w:ascii="仿宋_GB2312" w:hAnsi="仿宋_GB2312" w:eastAsia="仿宋_GB2312" w:cs="仿宋_GB2312"/>
          <w:bCs/>
          <w:kern w:val="2"/>
          <w:sz w:val="32"/>
          <w:szCs w:val="32"/>
        </w:rPr>
        <w:t>4.人才配套补助</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sz w:val="32"/>
          <w:szCs w:val="32"/>
        </w:rPr>
        <w:t>（1）给予30万元人才配套补助，试用期满合格后分5年等额发放。另有5万元专项奖励金。</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sz w:val="32"/>
          <w:szCs w:val="32"/>
        </w:rPr>
        <w:t>（2）在职称评聘上开设“绿色通道”，不受学校中、高级专业技术岗位比例限制，试用期满经学校考核合格的，可申请确认并聘任为一级教师；符合高级教师任职资格的，经参加上级组织的高级教师职称业务能力考核合格后，可确认并聘任为高级教师。</w:t>
      </w:r>
    </w:p>
    <w:p>
      <w:pPr>
        <w:pStyle w:val="5"/>
        <w:widowControl w:val="0"/>
        <w:spacing w:before="0" w:beforeAutospacing="0" w:after="0" w:afterAutospacing="0" w:line="560" w:lineRule="exact"/>
        <w:ind w:firstLine="640" w:firstLineChars="200"/>
        <w:rPr>
          <w:rStyle w:val="4"/>
          <w:rFonts w:hint="eastAsia" w:ascii="黑体" w:hAnsi="黑体" w:eastAsia="黑体" w:cs="黑体"/>
          <w:bCs/>
          <w:kern w:val="2"/>
          <w:sz w:val="32"/>
          <w:szCs w:val="32"/>
        </w:rPr>
      </w:pPr>
      <w:r>
        <w:rPr>
          <w:rStyle w:val="4"/>
          <w:rFonts w:hint="eastAsia" w:ascii="黑体" w:hAnsi="黑体" w:eastAsia="黑体" w:cs="黑体"/>
          <w:bCs/>
          <w:kern w:val="2"/>
          <w:sz w:val="32"/>
          <w:szCs w:val="32"/>
        </w:rPr>
        <w:t>二、全日制硕士毕业生可申请以下政策待遇</w:t>
      </w:r>
    </w:p>
    <w:p>
      <w:pPr>
        <w:widowControl w:val="0"/>
        <w:spacing w:line="560" w:lineRule="exact"/>
        <w:ind w:firstLine="640" w:firstLineChars="200"/>
        <w:jc w:val="left"/>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kern w:val="0"/>
          <w:sz w:val="32"/>
          <w:szCs w:val="32"/>
        </w:rPr>
        <w:t>1.住房保障方面。</w:t>
      </w:r>
      <w:r>
        <w:rPr>
          <w:rStyle w:val="4"/>
          <w:rFonts w:hint="eastAsia" w:ascii="仿宋_GB2312" w:hAnsi="仿宋_GB2312" w:eastAsia="仿宋_GB2312" w:cs="仿宋_GB2312"/>
          <w:bCs/>
          <w:sz w:val="32"/>
          <w:szCs w:val="32"/>
        </w:rPr>
        <w:t> 入住学校教师公寓或教师宿舍</w:t>
      </w:r>
    </w:p>
    <w:p>
      <w:pPr>
        <w:widowControl w:val="0"/>
        <w:spacing w:line="560" w:lineRule="exact"/>
        <w:ind w:firstLine="640" w:firstLineChars="200"/>
        <w:jc w:val="left"/>
        <w:rPr>
          <w:rStyle w:val="4"/>
          <w:rFonts w:hint="eastAsia" w:ascii="仿宋_GB2312" w:hAnsi="仿宋_GB2312" w:eastAsia="仿宋_GB2312" w:cs="仿宋_GB2312"/>
          <w:bCs/>
          <w:sz w:val="32"/>
          <w:szCs w:val="32"/>
        </w:rPr>
      </w:pPr>
      <w:r>
        <w:rPr>
          <w:rStyle w:val="4"/>
          <w:rFonts w:hint="eastAsia" w:ascii="仿宋_GB2312" w:hAnsi="仿宋_GB2312" w:eastAsia="仿宋_GB2312" w:cs="仿宋_GB2312"/>
          <w:bCs/>
          <w:kern w:val="0"/>
          <w:sz w:val="32"/>
          <w:szCs w:val="32"/>
        </w:rPr>
        <w:t>2.落户支持方面。</w:t>
      </w:r>
      <w:r>
        <w:rPr>
          <w:rStyle w:val="4"/>
          <w:rFonts w:hint="eastAsia" w:ascii="仿宋_GB2312" w:hAnsi="仿宋_GB2312" w:eastAsia="仿宋_GB2312" w:cs="仿宋_GB2312"/>
          <w:bCs/>
          <w:sz w:val="32"/>
          <w:szCs w:val="32"/>
        </w:rPr>
        <w:t>可根据自身意愿，自行选择在本人合稳定住所(含租赁)、就业单位集体户、就业和人事人才中心集体户落户，不受年龄和就业创业限制。</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kern w:val="2"/>
          <w:sz w:val="32"/>
          <w:szCs w:val="32"/>
        </w:rPr>
      </w:pPr>
      <w:r>
        <w:rPr>
          <w:rStyle w:val="4"/>
          <w:rFonts w:hint="eastAsia" w:ascii="仿宋_GB2312" w:hAnsi="仿宋_GB2312" w:eastAsia="仿宋_GB2312" w:cs="仿宋_GB2312"/>
          <w:bCs/>
          <w:kern w:val="2"/>
          <w:sz w:val="32"/>
          <w:szCs w:val="32"/>
        </w:rPr>
        <w:t>3.人才配套补助</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kern w:val="2"/>
          <w:sz w:val="32"/>
          <w:szCs w:val="32"/>
        </w:rPr>
      </w:pPr>
      <w:r>
        <w:rPr>
          <w:rStyle w:val="4"/>
          <w:rFonts w:hint="eastAsia" w:ascii="仿宋_GB2312" w:hAnsi="仿宋_GB2312" w:eastAsia="仿宋_GB2312" w:cs="仿宋_GB2312"/>
          <w:bCs/>
          <w:kern w:val="2"/>
          <w:sz w:val="32"/>
          <w:szCs w:val="32"/>
        </w:rPr>
        <w:t>（1）对属国家“双一流（世界一流大学和一流学科）建设”高校(包括教育部等单位下发教研函〔2017〕2号文件附件内的“一流大学建设高校”毕业的人员及“一流学科建设高校”毕业且所学专业为“双一流建设学科”的人员)、中国科学院大学、国家级研究机构的普通全日制硕士研究生，试用期满合格后，每人发放3万元奖励金，同时在六年服务期内（含试用期）每人每年发给2万元人才配套补助。</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bCs/>
          <w:kern w:val="2"/>
          <w:sz w:val="32"/>
          <w:szCs w:val="32"/>
        </w:rPr>
      </w:pPr>
      <w:r>
        <w:rPr>
          <w:rStyle w:val="4"/>
          <w:rFonts w:hint="eastAsia" w:ascii="仿宋_GB2312" w:hAnsi="仿宋_GB2312" w:eastAsia="仿宋_GB2312" w:cs="仿宋_GB2312"/>
          <w:bCs/>
          <w:kern w:val="2"/>
          <w:sz w:val="32"/>
          <w:szCs w:val="32"/>
        </w:rPr>
        <w:t>（2）对其他硕士研究生，试用期满合格后每人一次性发给1万元人才配套补助。</w:t>
      </w:r>
    </w:p>
    <w:p>
      <w:pPr>
        <w:pStyle w:val="5"/>
        <w:widowControl w:val="0"/>
        <w:spacing w:before="0" w:beforeAutospacing="0" w:after="0" w:afterAutospacing="0" w:line="560" w:lineRule="exact"/>
        <w:ind w:firstLine="640" w:firstLineChars="200"/>
        <w:rPr>
          <w:rStyle w:val="4"/>
          <w:rFonts w:hint="eastAsia" w:ascii="黑体" w:hAnsi="黑体" w:eastAsia="黑体" w:cs="黑体"/>
          <w:bCs/>
          <w:kern w:val="2"/>
          <w:sz w:val="32"/>
          <w:szCs w:val="32"/>
        </w:rPr>
      </w:pPr>
      <w:r>
        <w:rPr>
          <w:rStyle w:val="4"/>
          <w:rFonts w:hint="eastAsia" w:ascii="黑体" w:hAnsi="黑体" w:eastAsia="黑体" w:cs="黑体"/>
          <w:bCs/>
          <w:kern w:val="2"/>
          <w:sz w:val="32"/>
          <w:szCs w:val="32"/>
        </w:rPr>
        <w:t>（三）教育部直属重点师范大学应届普通全日制本科公费师范生可申请以下政策待遇</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kern w:val="2"/>
          <w:sz w:val="32"/>
          <w:szCs w:val="32"/>
        </w:rPr>
      </w:pPr>
      <w:r>
        <w:rPr>
          <w:rStyle w:val="4"/>
          <w:rFonts w:hint="eastAsia" w:ascii="仿宋_GB2312" w:hAnsi="仿宋_GB2312" w:eastAsia="仿宋_GB2312" w:cs="仿宋_GB2312"/>
          <w:kern w:val="2"/>
          <w:sz w:val="32"/>
          <w:szCs w:val="32"/>
        </w:rPr>
        <w:t>1.试用期满合格后给予发放奖励金3万元奖励。</w:t>
      </w:r>
    </w:p>
    <w:p>
      <w:pPr>
        <w:pStyle w:val="5"/>
        <w:widowControl w:val="0"/>
        <w:spacing w:before="0" w:beforeAutospacing="0" w:after="0" w:afterAutospacing="0" w:line="560" w:lineRule="exact"/>
        <w:ind w:firstLine="640" w:firstLineChars="200"/>
        <w:rPr>
          <w:rStyle w:val="4"/>
          <w:rFonts w:hint="eastAsia" w:ascii="仿宋_GB2312" w:hAnsi="仿宋_GB2312" w:eastAsia="仿宋_GB2312" w:cs="仿宋_GB2312"/>
          <w:kern w:val="2"/>
          <w:sz w:val="32"/>
          <w:szCs w:val="32"/>
        </w:rPr>
      </w:pPr>
      <w:r>
        <w:rPr>
          <w:rStyle w:val="4"/>
          <w:rFonts w:hint="eastAsia" w:ascii="仿宋_GB2312" w:hAnsi="仿宋_GB2312" w:eastAsia="仿宋_GB2312" w:cs="仿宋_GB2312"/>
          <w:kern w:val="2"/>
          <w:sz w:val="32"/>
          <w:szCs w:val="32"/>
        </w:rPr>
        <w:t>2.在六年服务期内（含试用期）每人每年发给2万元人才配套补助。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D5F73"/>
    <w:rsid w:val="1AD7044E"/>
    <w:rsid w:val="1D4D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 w:type="paragraph" w:customStyle="1" w:styleId="5">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2020-06-19T00:26:00Z</dcterms:created>
  <dc:creator>宋广成丶</dc:creator>
  <cp:lastModifiedBy>宋广成丶</cp:lastModifiedBy>
  <dcterms:modified xsi:type="dcterms:W3CDTF">2020-06-19T00:27:18Z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