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343434" w:sz="12" w:space="6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/>
        <w:jc w:val="center"/>
        <w:rPr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浙江大学舟山海洋研究中心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color w:val="333333"/>
          <w:sz w:val="23"/>
          <w:szCs w:val="23"/>
          <w:bdr w:val="none" w:color="auto" w:sz="0" w:space="0"/>
          <w:shd w:val="clear" w:fill="FFFFFF"/>
        </w:rPr>
        <w:t>招聘计划</w:t>
      </w:r>
    </w:p>
    <w:tbl>
      <w:tblPr>
        <w:tblW w:w="767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590"/>
        <w:gridCol w:w="827"/>
        <w:gridCol w:w="1029"/>
        <w:gridCol w:w="1342"/>
        <w:gridCol w:w="1229"/>
        <w:gridCol w:w="19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招聘计划数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0"/>
                <w:szCs w:val="20"/>
                <w:u w:val="none"/>
                <w:bdr w:val="none" w:color="auto" w:sz="0" w:space="0"/>
              </w:rPr>
              <w:t>专业要求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0"/>
                <w:szCs w:val="20"/>
                <w:u w:val="none"/>
                <w:bdr w:val="none" w:color="auto" w:sz="0" w:space="0"/>
              </w:rPr>
              <w:t>年龄要求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20"/>
                <w:szCs w:val="20"/>
                <w:u w:val="none"/>
                <w:bdr w:val="none" w:color="auto" w:sz="0" w:space="0"/>
              </w:rPr>
              <w:t>其他要求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海洋水利工程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ind w:left="0" w:firstLine="20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水利工程类、测绘科学与技术类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35周岁以下（1984年12月7日后出生）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入职后主要从事水动力泥沙数值模拟、河口海岸演变分析和物理模型试验等研究工作，或海洋测绘及GIS分析等相关工作。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电子信息工程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硕士及以上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电子科学与技术类、信息与通信工程类、计算机科学与技术类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35周岁以下（1984年12月7日后出生）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入职后主要从事水声通信、网络与通信安全等相关研究工作。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D3117"/>
    <w:rsid w:val="7EAD3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2020-12-07T08:31:00Z</dcterms:created>
  <dc:creator>ASUS</dc:creator>
  <cp:lastModifiedBy>ASUS</cp:lastModifiedBy>
  <dcterms:modified xsi:type="dcterms:W3CDTF">2020-12-07T08:32:13Z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