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ascii="微软雅黑" w:hAnsi="微软雅黑" w:eastAsia="微软雅黑" w:cs="微软雅黑"/>
          <w:i w:val="0"/>
          <w:caps w:val="0"/>
          <w:color w:val="686868"/>
          <w:spacing w:val="0"/>
          <w:sz w:val="20"/>
          <w:szCs w:val="20"/>
        </w:rPr>
      </w:pPr>
      <w:r>
        <w:rPr>
          <w:rFonts w:hint="eastAsia" w:ascii="微软雅黑" w:hAnsi="微软雅黑" w:eastAsia="微软雅黑" w:cs="微软雅黑"/>
          <w:i w:val="0"/>
          <w:caps w:val="0"/>
          <w:color w:val="686868"/>
          <w:spacing w:val="0"/>
          <w:sz w:val="20"/>
          <w:szCs w:val="20"/>
          <w:bdr w:val="none" w:color="auto" w:sz="0" w:space="0"/>
        </w:rPr>
        <w:t>人才引进类别与待遇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0"/>
          <w:szCs w:val="20"/>
        </w:rPr>
      </w:pPr>
      <w:r>
        <w:rPr>
          <w:rFonts w:hint="eastAsia" w:ascii="微软雅黑" w:hAnsi="微软雅黑" w:eastAsia="微软雅黑" w:cs="微软雅黑"/>
          <w:i w:val="0"/>
          <w:caps w:val="0"/>
          <w:color w:val="686868"/>
          <w:spacing w:val="0"/>
          <w:sz w:val="20"/>
          <w:szCs w:val="20"/>
          <w:bdr w:val="none" w:color="auto" w:sz="0" w:space="0"/>
        </w:rPr>
        <w:t>（一）人才引进类别及条件</w:t>
      </w:r>
    </w:p>
    <w:tbl>
      <w:tblPr>
        <w:tblW w:w="7313" w:type="dxa"/>
        <w:tblCellSpacing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02"/>
        <w:gridCol w:w="62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463" w:hRule="atLeast"/>
          <w:tblCellSpacing w:w="0" w:type="dxa"/>
        </w:trPr>
        <w:tc>
          <w:tcPr>
            <w:tcW w:w="7313" w:type="dxa"/>
            <w:gridSpan w:val="2"/>
            <w:tcBorders>
              <w:top w:val="nil"/>
              <w:left w:val="nil"/>
              <w:bottom w:val="single" w:color="000000" w:sz="4" w:space="0"/>
              <w:right w:val="nil"/>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浙江万里学院人才引进类别及条件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3" w:hRule="atLeast"/>
          <w:tblCellSpacing w:w="0" w:type="dxa"/>
        </w:trPr>
        <w:tc>
          <w:tcPr>
            <w:tcW w:w="1102"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人才类别</w:t>
            </w:r>
          </w:p>
        </w:tc>
        <w:tc>
          <w:tcPr>
            <w:tcW w:w="6211" w:type="dxa"/>
            <w:tcBorders>
              <w:top w:val="single" w:color="000000" w:sz="4" w:space="0"/>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引进条件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1" w:hRule="atLeast"/>
          <w:tblCellSpacing w:w="0" w:type="dxa"/>
        </w:trPr>
        <w:tc>
          <w:tcPr>
            <w:tcW w:w="1102"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顶尖人才特优人才领军人才</w:t>
            </w:r>
          </w:p>
        </w:tc>
        <w:tc>
          <w:tcPr>
            <w:tcW w:w="6211"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参照《宁波市人才分类目录（2018）》（甬人才发〔2018〕5号）及《宁波市人才分类认定操作细则》（甬人社发〔2019〕59号）认定。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39" w:hRule="atLeast"/>
          <w:tblCellSpacing w:w="0" w:type="dxa"/>
        </w:trPr>
        <w:tc>
          <w:tcPr>
            <w:tcW w:w="1102"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学科带头人</w:t>
            </w:r>
          </w:p>
        </w:tc>
        <w:tc>
          <w:tcPr>
            <w:tcW w:w="6211"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1.人文社科类年龄一般不超过50周岁，自然科学类年龄一般不超过45周岁；具有博士学位，且具有高级专业技术职务或聘高级专业技术岗位。2.近5年内，主持国家级项目（不含青年基金项目）1项；或获得省部级教学科研成果奖（政府奖）三等奖以上1项。3.近5年内，人文社科类发表CSSCI期刊学术论文5篇，其中A类期刊学术论文不少于2篇；自然科学类发表A类上以期刊学术论文5篇（至少2篇SCI一区期刊）或顶级期刊学术论文1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90" w:hRule="atLeast"/>
          <w:tblCellSpacing w:w="0" w:type="dxa"/>
        </w:trPr>
        <w:tc>
          <w:tcPr>
            <w:tcW w:w="1102"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学术骨干</w:t>
            </w:r>
          </w:p>
        </w:tc>
        <w:tc>
          <w:tcPr>
            <w:tcW w:w="6211"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1.年龄一般不超过45周岁，正高可适当放宽；具有博士学位，且具有高级专业技术职务；或者具有博士后经历；2.近5年内，主持国家级项目1项或省部级项目2项；或获得省部级教学科研成果奖（政府奖）三等奖以上1项；3.近5年内，人文社科类发表CSSCI期刊学术论文3篇，其中A类期刊学术论文不少于1篇；自然科学类发表A类以上期刊学术论文5篇（至少2篇SCI二区以上期刊）。</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77" w:hRule="atLeast"/>
          <w:tblCellSpacing w:w="0" w:type="dxa"/>
        </w:trPr>
        <w:tc>
          <w:tcPr>
            <w:tcW w:w="1102"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博士A类</w:t>
            </w:r>
          </w:p>
        </w:tc>
        <w:tc>
          <w:tcPr>
            <w:tcW w:w="6211"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1.年龄一般不超过35周岁，具有副高或以上专业职务同时主持过省部级以上项目的，或者具有博士后经历的，年龄可以放宽至40周岁；2.近5年内，人文社科类发表CSSCI期刊学术论文3篇以上，或发表A类以上期刊学术论文1篇；自然科学类发表A类以上期刊学术论文2篇以上；3.具有特殊学科专业的博士，或者年龄在30周岁以下，毕业于国家“双一流”重点高校或重点研究机构或海外著名高校的博士，由校院两级进行协商确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8" w:hRule="atLeast"/>
          <w:tblCellSpacing w:w="0" w:type="dxa"/>
        </w:trPr>
        <w:tc>
          <w:tcPr>
            <w:tcW w:w="1102"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博士B类</w:t>
            </w:r>
          </w:p>
        </w:tc>
        <w:tc>
          <w:tcPr>
            <w:tcW w:w="6211"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1.年龄一般不超过45周岁；具有博士学位；2.符合学校学科或专业发展要求。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89" w:hRule="atLeast"/>
          <w:tblCellSpacing w:w="0" w:type="dxa"/>
        </w:trPr>
        <w:tc>
          <w:tcPr>
            <w:tcW w:w="1102"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海外（境外）人才</w:t>
            </w:r>
          </w:p>
        </w:tc>
        <w:tc>
          <w:tcPr>
            <w:tcW w:w="6211"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1.年龄一般不超过45周岁；具有博士学位；2.近5年内，人文社科类发表SSCI或SCI期刊学术论文2篇以上；自然科学类发表SCI二区以上期刊学术论文2篇以上；或者其他可以认定为相当的学术成果。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01" w:hRule="atLeast"/>
          <w:tblCellSpacing w:w="0" w:type="dxa"/>
        </w:trPr>
        <w:tc>
          <w:tcPr>
            <w:tcW w:w="7313" w:type="dxa"/>
            <w:gridSpan w:val="2"/>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color w:val="686868"/>
                <w:sz w:val="20"/>
                <w:szCs w:val="20"/>
              </w:rPr>
            </w:pPr>
            <w:r>
              <w:rPr>
                <w:rFonts w:hint="eastAsia" w:ascii="微软雅黑" w:hAnsi="微软雅黑" w:eastAsia="微软雅黑" w:cs="微软雅黑"/>
                <w:i w:val="0"/>
                <w:caps w:val="0"/>
                <w:color w:val="686868"/>
                <w:spacing w:val="0"/>
                <w:sz w:val="20"/>
                <w:szCs w:val="20"/>
                <w:bdr w:val="none" w:color="auto" w:sz="0" w:space="0"/>
              </w:rPr>
              <w:t>注：学术论文期刊级别按浙江万里学院职称评审标准确定（见附件3）。</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0"/>
          <w:szCs w:val="20"/>
        </w:rPr>
      </w:pPr>
      <w:r>
        <w:rPr>
          <w:rFonts w:hint="eastAsia" w:ascii="微软雅黑" w:hAnsi="微软雅黑" w:eastAsia="微软雅黑" w:cs="微软雅黑"/>
          <w:i w:val="0"/>
          <w:caps w:val="0"/>
          <w:color w:val="686868"/>
          <w:spacing w:val="0"/>
          <w:sz w:val="20"/>
          <w:szCs w:val="20"/>
          <w:bdr w:val="none" w:color="auto" w:sz="0" w:space="0"/>
        </w:rPr>
        <w:t>（二）人才引进待遇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微软雅黑" w:hAnsi="微软雅黑" w:eastAsia="微软雅黑" w:cs="微软雅黑"/>
          <w:i w:val="0"/>
          <w:caps w:val="0"/>
          <w:color w:val="686868"/>
          <w:spacing w:val="0"/>
          <w:sz w:val="20"/>
          <w:szCs w:val="20"/>
        </w:rPr>
      </w:pPr>
      <w:r>
        <w:rPr>
          <w:rFonts w:hint="eastAsia" w:ascii="微软雅黑" w:hAnsi="微软雅黑" w:eastAsia="微软雅黑" w:cs="微软雅黑"/>
          <w:i w:val="0"/>
          <w:caps w:val="0"/>
          <w:color w:val="686868"/>
          <w:spacing w:val="0"/>
          <w:sz w:val="20"/>
          <w:szCs w:val="20"/>
          <w:bdr w:val="none" w:color="auto" w:sz="0" w:space="0"/>
        </w:rPr>
        <w:t>学校根据引进人才类别提供不同酬薪待遇及支持政策，见下表《浙江万里学院人才引进待遇》：</w:t>
      </w:r>
    </w:p>
    <w:tbl>
      <w:tblPr>
        <w:tblW w:w="8014"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88"/>
        <w:gridCol w:w="1451"/>
        <w:gridCol w:w="1175"/>
        <w:gridCol w:w="2450"/>
        <w:gridCol w:w="18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26" w:hRule="atLeast"/>
          <w:tblCellSpacing w:w="0" w:type="dxa"/>
          <w:jc w:val="center"/>
        </w:trPr>
        <w:tc>
          <w:tcPr>
            <w:tcW w:w="1089" w:type="dxa"/>
            <w:tcBorders>
              <w:top w:val="single" w:color="000000" w:sz="4" w:space="0"/>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人才类别</w:t>
            </w:r>
          </w:p>
        </w:tc>
        <w:tc>
          <w:tcPr>
            <w:tcW w:w="1453" w:type="dxa"/>
            <w:tcBorders>
              <w:top w:val="single" w:color="000000" w:sz="4" w:space="0"/>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购房补贴</w:t>
            </w:r>
          </w:p>
        </w:tc>
        <w:tc>
          <w:tcPr>
            <w:tcW w:w="1177" w:type="dxa"/>
            <w:tcBorders>
              <w:top w:val="single" w:color="000000" w:sz="4" w:space="0"/>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宁波市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购房补贴</w:t>
            </w:r>
          </w:p>
        </w:tc>
        <w:tc>
          <w:tcPr>
            <w:tcW w:w="2454" w:type="dxa"/>
            <w:tcBorders>
              <w:top w:val="single" w:color="000000" w:sz="4" w:space="0"/>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科研启动费</w:t>
            </w:r>
          </w:p>
        </w:tc>
        <w:tc>
          <w:tcPr>
            <w:tcW w:w="1853" w:type="dxa"/>
            <w:tcBorders>
              <w:top w:val="single" w:color="000000" w:sz="4" w:space="0"/>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年薪</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8" w:hRule="atLeast"/>
          <w:tblCellSpacing w:w="0" w:type="dxa"/>
          <w:jc w:val="center"/>
        </w:trPr>
        <w:tc>
          <w:tcPr>
            <w:tcW w:w="1089"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顶尖人才</w:t>
            </w:r>
          </w:p>
        </w:tc>
        <w:tc>
          <w:tcPr>
            <w:tcW w:w="6912" w:type="dxa"/>
            <w:gridSpan w:val="4"/>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一人一议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9" w:hRule="atLeast"/>
          <w:tblCellSpacing w:w="0" w:type="dxa"/>
          <w:jc w:val="center"/>
        </w:trPr>
        <w:tc>
          <w:tcPr>
            <w:tcW w:w="1089"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特优人才</w:t>
            </w:r>
          </w:p>
        </w:tc>
        <w:tc>
          <w:tcPr>
            <w:tcW w:w="1453"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不少于250万元</w:t>
            </w:r>
          </w:p>
        </w:tc>
        <w:tc>
          <w:tcPr>
            <w:tcW w:w="1177" w:type="dxa"/>
            <w:tcBorders>
              <w:top w:val="single" w:color="000000" w:sz="4" w:space="0"/>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60万元以内</w:t>
            </w:r>
          </w:p>
        </w:tc>
        <w:tc>
          <w:tcPr>
            <w:tcW w:w="2454" w:type="dxa"/>
            <w:tcBorders>
              <w:top w:val="single" w:color="000000" w:sz="4" w:space="0"/>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人文社科类不少于60万元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自然科学类不少于150万元</w:t>
            </w:r>
          </w:p>
        </w:tc>
        <w:tc>
          <w:tcPr>
            <w:tcW w:w="1853" w:type="dxa"/>
            <w:tcBorders>
              <w:top w:val="single" w:color="000000" w:sz="4" w:space="0"/>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不少于100万元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39" w:hRule="atLeast"/>
          <w:tblCellSpacing w:w="0" w:type="dxa"/>
          <w:jc w:val="center"/>
        </w:trPr>
        <w:tc>
          <w:tcPr>
            <w:tcW w:w="1089"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领军人才</w:t>
            </w:r>
          </w:p>
        </w:tc>
        <w:tc>
          <w:tcPr>
            <w:tcW w:w="1453"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不少于200万元</w:t>
            </w:r>
          </w:p>
        </w:tc>
        <w:tc>
          <w:tcPr>
            <w:tcW w:w="1177"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40万元以内</w:t>
            </w:r>
          </w:p>
        </w:tc>
        <w:tc>
          <w:tcPr>
            <w:tcW w:w="2454"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人文社科类不少于60万元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自然科学类不少于100万元</w:t>
            </w:r>
          </w:p>
        </w:tc>
        <w:tc>
          <w:tcPr>
            <w:tcW w:w="1853"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不少于50万元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39" w:hRule="atLeast"/>
          <w:tblCellSpacing w:w="0" w:type="dxa"/>
          <w:jc w:val="center"/>
        </w:trPr>
        <w:tc>
          <w:tcPr>
            <w:tcW w:w="1089"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学科带头人</w:t>
            </w:r>
          </w:p>
        </w:tc>
        <w:tc>
          <w:tcPr>
            <w:tcW w:w="1453"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120－150万元</w:t>
            </w:r>
          </w:p>
        </w:tc>
        <w:tc>
          <w:tcPr>
            <w:tcW w:w="1177"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25万元以内</w:t>
            </w:r>
          </w:p>
        </w:tc>
        <w:tc>
          <w:tcPr>
            <w:tcW w:w="2454"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50－100万元</w:t>
            </w:r>
          </w:p>
        </w:tc>
        <w:tc>
          <w:tcPr>
            <w:tcW w:w="1853"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不少于40万元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8" w:hRule="atLeast"/>
          <w:tblCellSpacing w:w="0" w:type="dxa"/>
          <w:jc w:val="center"/>
        </w:trPr>
        <w:tc>
          <w:tcPr>
            <w:tcW w:w="1089"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学术骨干</w:t>
            </w:r>
          </w:p>
        </w:tc>
        <w:tc>
          <w:tcPr>
            <w:tcW w:w="1453"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90－120万元</w:t>
            </w:r>
          </w:p>
        </w:tc>
        <w:tc>
          <w:tcPr>
            <w:tcW w:w="1177" w:type="dxa"/>
            <w:vMerge w:val="restart"/>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20万元以内</w:t>
            </w:r>
          </w:p>
        </w:tc>
        <w:tc>
          <w:tcPr>
            <w:tcW w:w="2454"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10－50万元</w:t>
            </w:r>
          </w:p>
        </w:tc>
        <w:tc>
          <w:tcPr>
            <w:tcW w:w="1853"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不少于30万元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3" w:hRule="atLeast"/>
          <w:tblCellSpacing w:w="0" w:type="dxa"/>
          <w:jc w:val="center"/>
        </w:trPr>
        <w:tc>
          <w:tcPr>
            <w:tcW w:w="1089"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博士A类</w:t>
            </w:r>
          </w:p>
        </w:tc>
        <w:tc>
          <w:tcPr>
            <w:tcW w:w="1453"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70－90万元</w:t>
            </w:r>
          </w:p>
        </w:tc>
        <w:tc>
          <w:tcPr>
            <w:tcW w:w="1177" w:type="dxa"/>
            <w:vMerge w:val="continue"/>
            <w:tcBorders>
              <w:top w:val="nil"/>
              <w:left w:val="nil"/>
              <w:bottom w:val="single" w:color="000000" w:sz="4" w:space="0"/>
              <w:right w:val="single" w:color="000000" w:sz="4" w:space="0"/>
            </w:tcBorders>
            <w:shd w:val="clear"/>
            <w:tcMar>
              <w:left w:w="88" w:type="dxa"/>
              <w:right w:w="88" w:type="dxa"/>
            </w:tcMar>
            <w:vAlign w:val="center"/>
          </w:tcPr>
          <w:p>
            <w:pPr>
              <w:rPr>
                <w:rFonts w:hint="eastAsia" w:ascii="微软雅黑" w:hAnsi="微软雅黑" w:eastAsia="微软雅黑" w:cs="微软雅黑"/>
                <w:color w:val="686868"/>
                <w:sz w:val="20"/>
                <w:szCs w:val="20"/>
              </w:rPr>
            </w:pPr>
          </w:p>
        </w:tc>
        <w:tc>
          <w:tcPr>
            <w:tcW w:w="2454"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5－10万元</w:t>
            </w:r>
          </w:p>
        </w:tc>
        <w:tc>
          <w:tcPr>
            <w:tcW w:w="1853"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首聘三年内不低于校内副高七级岗待遇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3" w:hRule="atLeast"/>
          <w:tblCellSpacing w:w="0" w:type="dxa"/>
          <w:jc w:val="center"/>
        </w:trPr>
        <w:tc>
          <w:tcPr>
            <w:tcW w:w="1089"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博士B类</w:t>
            </w:r>
          </w:p>
        </w:tc>
        <w:tc>
          <w:tcPr>
            <w:tcW w:w="1453"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30－50万元</w:t>
            </w:r>
          </w:p>
        </w:tc>
        <w:tc>
          <w:tcPr>
            <w:tcW w:w="1177" w:type="dxa"/>
            <w:vMerge w:val="continue"/>
            <w:tcBorders>
              <w:top w:val="nil"/>
              <w:left w:val="nil"/>
              <w:bottom w:val="single" w:color="000000" w:sz="4" w:space="0"/>
              <w:right w:val="single" w:color="000000" w:sz="4" w:space="0"/>
            </w:tcBorders>
            <w:shd w:val="clear"/>
            <w:tcMar>
              <w:left w:w="88" w:type="dxa"/>
              <w:right w:w="88" w:type="dxa"/>
            </w:tcMar>
            <w:vAlign w:val="center"/>
          </w:tcPr>
          <w:p>
            <w:pPr>
              <w:rPr>
                <w:rFonts w:hint="eastAsia" w:ascii="微软雅黑" w:hAnsi="微软雅黑" w:eastAsia="微软雅黑" w:cs="微软雅黑"/>
                <w:color w:val="686868"/>
                <w:sz w:val="20"/>
                <w:szCs w:val="20"/>
              </w:rPr>
            </w:pPr>
          </w:p>
        </w:tc>
        <w:tc>
          <w:tcPr>
            <w:tcW w:w="2454"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5－10万元</w:t>
            </w:r>
          </w:p>
        </w:tc>
        <w:tc>
          <w:tcPr>
            <w:tcW w:w="1853"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按学校同类人员待遇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6" w:hRule="atLeast"/>
          <w:tblCellSpacing w:w="0" w:type="dxa"/>
          <w:jc w:val="center"/>
        </w:trPr>
        <w:tc>
          <w:tcPr>
            <w:tcW w:w="1089" w:type="dxa"/>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海外（境外）人才</w:t>
            </w:r>
          </w:p>
        </w:tc>
        <w:tc>
          <w:tcPr>
            <w:tcW w:w="2617" w:type="dxa"/>
            <w:gridSpan w:val="2"/>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另定</w:t>
            </w:r>
          </w:p>
        </w:tc>
        <w:tc>
          <w:tcPr>
            <w:tcW w:w="2454"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5－20万元</w:t>
            </w:r>
          </w:p>
        </w:tc>
        <w:tc>
          <w:tcPr>
            <w:tcW w:w="1853" w:type="dxa"/>
            <w:tcBorders>
              <w:top w:val="nil"/>
              <w:left w:val="nil"/>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15－30万元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76" w:hRule="atLeast"/>
          <w:tblCellSpacing w:w="0" w:type="dxa"/>
          <w:jc w:val="center"/>
        </w:trPr>
        <w:tc>
          <w:tcPr>
            <w:tcW w:w="8014" w:type="dxa"/>
            <w:gridSpan w:val="5"/>
            <w:tcBorders>
              <w:top w:val="nil"/>
              <w:left w:val="single" w:color="000000" w:sz="4" w:space="0"/>
              <w:bottom w:val="single" w:color="000000" w:sz="4" w:space="0"/>
              <w:right w:val="single" w:color="000000" w:sz="4" w:space="0"/>
            </w:tcBorders>
            <w:shd w:val="clear"/>
            <w:tcMar>
              <w:left w:w="88" w:type="dxa"/>
              <w:right w:w="8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686868"/>
                <w:sz w:val="20"/>
                <w:szCs w:val="20"/>
              </w:rPr>
            </w:pPr>
            <w:r>
              <w:rPr>
                <w:rFonts w:hint="eastAsia" w:ascii="微软雅黑" w:hAnsi="微软雅黑" w:eastAsia="微软雅黑" w:cs="微软雅黑"/>
                <w:color w:val="686868"/>
                <w:sz w:val="20"/>
                <w:szCs w:val="20"/>
                <w:bdr w:val="none" w:color="auto" w:sz="0" w:space="0"/>
              </w:rPr>
              <w:t>注：1.申报宁波市购房补贴按照《宁波市人才安居实施办法》（甬建发[2018]180号）等相关规定办理；2.海外（境外）人才具体待遇根据引进人才层次采取“一人一议”方式确定；3.符合条件的新引进高层次人才可进入学校高层次人才专业技术职务评聘特殊通道（“绿色通道”）启动评审程序。</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92434"/>
    <w:rsid w:val="4CA924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2021-02-07T07:56:00Z</dcterms:created>
  <dc:creator>WPS_1609033458</dc:creator>
  <cp:lastModifiedBy>WPS_1609033458</cp:lastModifiedBy>
  <dcterms:modified xsi:type="dcterms:W3CDTF">2021-02-07T07:56:23Z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