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/>
        <w:ind w:left="0" w:right="0"/>
        <w:jc w:val="left"/>
      </w:pPr>
      <w:r>
        <w:rPr>
          <w:rFonts w:ascii="微软雅黑" w:hAnsi="微软雅黑" w:eastAsia="微软雅黑" w:cs="微软雅黑"/>
          <w:b w:val="0"/>
        </w:rPr>
        <w:t>岗位条件</w:t>
      </w:r>
    </w:p>
    <w:tbl>
      <w:tblPr>
        <w:tblW w:w="8820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630"/>
        <w:gridCol w:w="1050"/>
        <w:gridCol w:w="1365"/>
        <w:gridCol w:w="2415"/>
        <w:gridCol w:w="16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岗位工作内容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招聘人数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学历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专业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其他要求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内勤岗位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全日制大专及以上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经济类、会计类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有会计上岗证或初级会计师职称者优先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涉及车辆调度管理，需有驾照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窗口岗位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全日制大专及以上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环境科学与工程类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有环评工作经历者优先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派遣至滨海窗口或袍江窗口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执法辅勤岗位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全日制大专及以上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环境科学与工程类、汉语言文学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</w:rPr>
              <w:t>1.能够胜任夜间外勤工作，建议男性报考；2.退役军人可不受专业限制。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815EF"/>
    <w:rsid w:val="2AB8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2021-08-09T01:55:00Z</dcterms:created>
  <dc:creator>Administrator</dc:creator>
  <cp:lastModifiedBy>Administrator</cp:lastModifiedBy>
  <dcterms:modified xsi:type="dcterms:W3CDTF">2021-08-09T02:23:54Z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