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28" w:tblpY="723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2292"/>
        <w:gridCol w:w="2302"/>
        <w:gridCol w:w="1559"/>
        <w:gridCol w:w="1140"/>
        <w:gridCol w:w="2295"/>
        <w:gridCol w:w="2490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中共海丰县委政法委员会政府聘员岗位表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专业要求及代码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县镇两级民情地图联勤指挥中心政府聘员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从事机关公文写作、档案管理、政务信息和综合性调研、熟悉计算机操作、处理机关各项行政事务等工作。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40人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其中：海丰县联勤指挥中心政府聘员4人；各镇民情地图联勤指挥中心政府聘员36人（海城、附城、城东、梅陇、可塘、公平各4人，黄羌、平东、赤坑、大湖、陶河、联安各2人）。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全日制大专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  <w:r>
              <w:rPr>
                <w:rStyle w:val="4"/>
                <w:rFonts w:hint="default"/>
                <w:lang w:bidi="ar"/>
              </w:rPr>
              <w:t>（B120402）</w:t>
            </w:r>
          </w:p>
          <w:p>
            <w:pPr>
              <w:widowControl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法学类（B0301）</w:t>
            </w:r>
          </w:p>
          <w:p>
            <w:pPr>
              <w:widowControl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法律实务类（C0301）</w:t>
            </w:r>
          </w:p>
          <w:p>
            <w:pPr>
              <w:widowControl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计算机类（B0809、C0814）</w:t>
            </w:r>
          </w:p>
          <w:p>
            <w:pPr>
              <w:widowControl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汉语言文学（B050101）</w:t>
            </w:r>
          </w:p>
          <w:p>
            <w:pPr>
              <w:widowControl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公共管理类（C1207）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民情地图平台需24小时日常运行和管理，应聘人员能适应夜间轮换值班、加班、应急等工作任务。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57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  <w:bookmarkStart w:id="0" w:name="_GoBack"/>
      <w:bookmarkEnd w:id="0"/>
    </w:p>
    <w:p>
      <w:pPr>
        <w:spacing w:line="57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D4238"/>
    <w:rsid w:val="12A36610"/>
    <w:rsid w:val="470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2021-08-09T02:02:00Z</dcterms:created>
  <dc:creator>涼しい朝露</dc:creator>
  <cp:lastModifiedBy>涼しい朝露</cp:lastModifiedBy>
  <dcterms:modified xsi:type="dcterms:W3CDTF">2021-08-09T02:04:50Z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