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color w:val="0000FF"/>
          <w:kern w:val="0"/>
          <w:sz w:val="32"/>
          <w:szCs w:val="32"/>
          <w:highlight w:val="none"/>
          <w:u w:val="single"/>
          <w:shd w:val="clear" w:color="auto" w:fill="FFFFFF"/>
        </w:rPr>
      </w:pPr>
    </w:p>
    <w:tbl>
      <w:tblPr>
        <w:tblStyle w:val="5"/>
        <w:tblW w:w="13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750"/>
        <w:gridCol w:w="555"/>
        <w:gridCol w:w="1607"/>
        <w:gridCol w:w="1750"/>
        <w:gridCol w:w="5262"/>
        <w:gridCol w:w="850"/>
        <w:gridCol w:w="1316"/>
        <w:gridCol w:w="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65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u w:val="none"/>
              </w:rPr>
              <w:t>阳泉市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u w:val="none"/>
                <w:lang w:eastAsia="zh-CN"/>
              </w:rPr>
              <w:t>生态环境保护综合行政执法队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  <w:t>2022年</w:t>
            </w:r>
            <w:r>
              <w:rPr>
                <w:rStyle w:val="7"/>
                <w:rFonts w:hint="eastAsia" w:cs="宋体"/>
                <w:sz w:val="36"/>
                <w:szCs w:val="36"/>
              </w:rPr>
              <w:t>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阳泉市生态环境保护综合行政执法队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经济学（学科门类）、管理学（学科门类）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cs="宋体" w:eastAsia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  <w:t>阳泉市范围内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经济学（学科门类）、管理学（学科门类）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eastAsia="宋体" w:cs="宋体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left"/>
              <w:textAlignment w:val="auto"/>
              <w:rPr>
                <w:rFonts w:hint="default" w:ascii="宋体" w:cs="宋体" w:hAnsiTheme="minorHAnsi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 w:eastAsiaTheme="minorEastAsia"/>
                <w:color w:val="000000"/>
                <w:sz w:val="20"/>
                <w:szCs w:val="20"/>
                <w:lang w:eastAsia="zh-CN"/>
              </w:rPr>
              <w:t>服务基层项目人员专门岗位，不达开考比例自动转入一般性岗位专技岗</w:t>
            </w:r>
            <w:r>
              <w:rPr>
                <w:rFonts w:hint="eastAsia" w:ascii="宋体" w:cs="宋体" w:eastAsiaTheme="minorEastAsia"/>
                <w:color w:val="000000"/>
                <w:sz w:val="20"/>
                <w:szCs w:val="20"/>
                <w:lang w:val="en-US" w:eastAsia="zh-CN"/>
              </w:rPr>
              <w:t>1。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cs="宋体" w:hAnsiTheme="minorHAnsi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  <w:t>阳泉市范围内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cs="宋体" w:hAnsiTheme="minorHAnsi" w:eastAsia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科：环境科学与工程类（一级学科）、物理学类（一级学科）、化学类（一级学科）、化工与制药类（一级学科）、电气类（一级学科）、机械类（一级学科）、计算机类（一级学科）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研究生：环境科学与工程（一级学科）、资源与环境（一级学科）、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left"/>
              <w:textAlignment w:val="auto"/>
              <w:rPr>
                <w:rFonts w:hint="default" w:asci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物理学（一级学科）、化学（一级学科）、化学工程与技术（一级学科）、材料与化工（一级学科）、电气工程（一级学科）、机械工程（一级学科）、计算机科学与技术（一级学科）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vertAlign w:val="baseline"/>
                <w:lang w:val="en-US" w:eastAsia="zh-CN"/>
              </w:rPr>
              <w:t>从事一线执法，夜间值班</w:t>
            </w:r>
            <w:r>
              <w:rPr>
                <w:rFonts w:hint="eastAsia" w:ascii="宋体" w:hAnsi="宋体" w:cs="宋体"/>
                <w:spacing w:val="-6"/>
                <w:sz w:val="21"/>
                <w:szCs w:val="21"/>
                <w:vertAlign w:val="baseline"/>
                <w:lang w:val="en-US" w:eastAsia="zh-CN"/>
              </w:rPr>
              <w:t>，适宜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男性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  <w:t>阳泉市范围内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left"/>
              <w:rPr>
                <w:rFonts w:hint="default" w:asci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本科：中国语言文学类（一级学科）、法学类（一级学科）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sz w:val="20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研究生：中国语言文学（一级学科）、法学（一级学科）、法律（一级学科）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  <w:t>阳泉市范围内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right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2"/>
                <w:lang w:eastAsia="zh-CN"/>
              </w:rPr>
              <w:t>不限专业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vertAlign w:val="baseline"/>
                <w:lang w:val="en-US" w:eastAsia="zh-CN"/>
              </w:rPr>
              <w:t>阳泉市范围内</w:t>
            </w:r>
          </w:p>
        </w:tc>
      </w:tr>
    </w:tbl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highlight w:val="none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66E4"/>
    <w:rsid w:val="339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41"/>
    <w:basedOn w:val="6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2022-01-30T01:32:00Z</dcterms:created>
  <dc:creator>花满楼</dc:creator>
  <cp:lastModifiedBy>花满楼</cp:lastModifiedBy>
  <dcterms:modified xsi:type="dcterms:W3CDTF">2022-01-30T01:34:11Z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0002E8FD03B3475D9E6929F5B436B891</vt:lpwstr>
  </property>
</Properties>
</file>