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kern w:val="0"/>
          <w:sz w:val="44"/>
          <w:szCs w:val="44"/>
        </w:rPr>
        <w:t>2023年博望区人民医院引进医疗卫生人才（第二批）一览表</w:t>
      </w:r>
      <w:bookmarkEnd w:id="0"/>
    </w:p>
    <w:p/>
    <w:tbl>
      <w:tblPr>
        <w:tblStyle w:val="4"/>
        <w:tblW w:w="14039" w:type="dxa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045"/>
        <w:gridCol w:w="1045"/>
        <w:gridCol w:w="843"/>
        <w:gridCol w:w="2393"/>
        <w:gridCol w:w="79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招聘岗位代码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需求人数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79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相关要求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博望区人民医院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耳鼻喉科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临床实用骨干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202304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本科：临床医学专业（100201K）</w:t>
            </w:r>
          </w:p>
          <w:p>
            <w:pPr>
              <w:widowControl/>
              <w:spacing w:line="300" w:lineRule="atLeast"/>
              <w:jc w:val="left"/>
              <w:rPr>
                <w:rFonts w:ascii="ˎ̥" w:hAnsi="ˎ̥" w:cs="Times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研究生：耳鼻咽喉科学</w:t>
            </w:r>
            <w:r>
              <w:rPr>
                <w:rFonts w:ascii="ˎ̥" w:hAnsi="ˎ̥" w:cs="Times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（二级学科，105117 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45周岁及以下具有本科学历和执业医师资格（具有住院医师规范化培训合格证和2年以上二级及以上医院工作经历优先考虑），执业范围符合报考岗位要求。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sz w:val="22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眼科临床实用骨干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202305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本科：临床医学专业（100201K）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研究生：眼科学 （二级学科，105116）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45周岁及以下具有本科学历和执业医师资格（具有住院医师规范化培训合格证和2年以上二级及以上医院工作经历优先考虑），执业范围符合报考岗位要求。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sz w:val="22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康复医学科临床实用骨干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202306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  <w:t>1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本科：临床医学专业（100201K）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研究生：康复医学与理疗学（二级学科，105110）</w:t>
            </w:r>
          </w:p>
        </w:tc>
        <w:tc>
          <w:tcPr>
            <w:tcW w:w="7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45周岁及以下具有本科学历和执业医师资格（具有住院医师规范化培训合格证和2年以上二级及以上医院工作经历优先考虑），执业范围符合报考岗位要求。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8285C"/>
    <w:rsid w:val="6F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2023-12-30T03:21:00Z</dcterms:created>
  <dc:creator>wjwzj</dc:creator>
  <cp:lastModifiedBy>wjwzj</cp:lastModifiedBy>
  <dcterms:modified xsi:type="dcterms:W3CDTF">2023-12-30T03:23:02Z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