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川省城乡建设研究院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年考核招聘</w:t>
      </w:r>
      <w:r>
        <w:rPr>
          <w:rFonts w:hint="eastAsia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方正公文小标宋" w:cs="Times New Roman"/>
          <w:color w:val="000000"/>
          <w:sz w:val="36"/>
          <w:szCs w:val="36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方正公文小标宋" w:cs="Times New Roman"/>
          <w:color w:val="000000"/>
          <w:sz w:val="36"/>
          <w:szCs w:val="36"/>
          <w:highlight w:val="none"/>
        </w:rPr>
        <w:t>人员</w:t>
      </w:r>
      <w:r>
        <w:rPr>
          <w:rFonts w:hint="default" w:ascii="Times New Roman" w:hAnsi="Times New Roman" w:eastAsia="方正公文小标宋" w:cs="Times New Roman"/>
          <w:sz w:val="36"/>
          <w:szCs w:val="36"/>
          <w:highlight w:val="none"/>
          <w:lang w:val="en-US" w:eastAsia="zh-CN"/>
        </w:rPr>
        <w:t>岗位和条件要求一览表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56"/>
        <w:gridCol w:w="866"/>
        <w:gridCol w:w="1706"/>
        <w:gridCol w:w="2606"/>
        <w:gridCol w:w="2363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岗位类别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岗位名称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招聘</w:t>
            </w:r>
          </w:p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专业条件要求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专业技术岗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年1月1日及以后出生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，并取得相应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博士学位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安全科学与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工程专业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同时满足以下条件：</w:t>
            </w:r>
          </w:p>
          <w:p>
            <w:pPr>
              <w:numPr>
                <w:ilvl w:val="0"/>
                <w:numId w:val="0"/>
              </w:num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取得建设工程类中级及以上职称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证书；</w:t>
            </w:r>
          </w:p>
          <w:p>
            <w:pPr>
              <w:numPr>
                <w:ilvl w:val="0"/>
                <w:numId w:val="0"/>
              </w:numPr>
              <w:overflowPunct w:val="0"/>
              <w:spacing w:line="480" w:lineRule="exact"/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2.取得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一级注册消防工程师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职业资格证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专业技术岗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年1月1日及以后出生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，并取得相应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博士学位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人文地理学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取得建设工程类中级及以上职称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专业技术岗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年1月1日及以后出生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，并取得相应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博士学位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安全科学与减灾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overflowPunct w:val="0"/>
              <w:spacing w:line="48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取得建设工程类中级及以上职称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证书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注：1.本表各岗位相关的其他条件及要求请见本公告正文；2.报考者本人有效的毕业证和学位证所载学历学位和专业名称，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  <w:sectPr>
          <w:pgSz w:w="16838" w:h="11906" w:orient="landscape"/>
          <w:pgMar w:top="1531" w:right="1440" w:bottom="147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应与拟报考岗位的“学历学位”和“专业条件要求”两栏分别相符。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B3E37EA"/>
    <w:rsid w:val="0B3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2024-04-10T08:56:00Z</dcterms:created>
  <dc:creator>Primadonna</dc:creator>
  <cp:lastModifiedBy>Primadonna</cp:lastModifiedBy>
  <dcterms:modified xsi:type="dcterms:W3CDTF">2024-04-10T08:56:50Z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1799E19F693B40E4AAB6596FFAB2273F_11</vt:lpwstr>
  </property>
</Properties>
</file>