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0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磐安县</w:t>
      </w:r>
      <w:r>
        <w:rPr>
          <w:rFonts w:hint="eastAsia" w:eastAsia="方正小标宋_GBK" w:cs="Times New Roman"/>
          <w:bCs/>
          <w:color w:val="auto"/>
          <w:sz w:val="44"/>
          <w:szCs w:val="44"/>
          <w:lang w:eastAsia="zh-CN"/>
        </w:rPr>
        <w:t>机关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事业单位公开招用编外人员资格审查办法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一、户籍要求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户籍要求为“磐安”包括：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（1）本人户口在磐安（以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的户口所在地为准）；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（2）本人出生地在磐安（以户口簿、出生证或出生地政府出具的佐证材料为依据）；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（3）本人或父母或夫（妻）一方在磐安有长居地的（以户口簿、结婚证、房产证、居住地政府出具的佐证材料为依据）；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（4）父母或夫（妻）一方户口在磐安或是磐安机关事业单位正式在编在职工作人员的（以户口簿、结婚证、工作单位佐证材料为依据）；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（5）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前在磐安企事业单位工作并签订劳动合同3年以上的；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（6）生源地为磐安的人员（生源地是指经高考、被高校录取时户口所在地）。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属（2）-（6）种情形的，在报名时，需提供相关材料。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研究生学历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取得专业技术副高职称以上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的人员户籍不限。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二、年龄要求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以第二代身份证上的出生时间为依据，年龄18至35周岁（198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期间出生）；年龄18至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周岁（198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期间出生）；年龄18至45周岁（197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6月11日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三、“专业”审查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报考专业名称与教育行政部门颁发的专业目录名称不一致的，请考生在资格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前，向招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单位提供由毕业院校或教育行政部门开具的关于专业确认的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eastAsia="黑体" w:cs="Times New Roman"/>
          <w:color w:val="auto"/>
          <w:sz w:val="32"/>
          <w:szCs w:val="32"/>
          <w:lang w:eastAsia="zh-CN"/>
        </w:rPr>
        <w:t>人事考试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笔试定义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《磐安县编外人才储备池管理试行办法》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积分表中的人事考试指的是近三年（2022-2024年），由组织人社部门组织的公务员、事业单位工作人员、教师、卫技人员等笔试。若报考人员近三年未参加上述笔试的，该项积分为零。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在全日制普通高校脱产就读的非202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年应届毕业的专升本人员、研究生也不能以原已取得的学历、学位证书报考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本办法由县人力社保部门会同招用单位负责解释。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5AE3"/>
    <w:multiLevelType w:val="singleLevel"/>
    <w:tmpl w:val="8BFC5AE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GEzZDNiNmY0YTJjOTY1NzkxMGM2ZWE2YjJlZjcifQ=="/>
  </w:docVars>
  <w:rsids>
    <w:rsidRoot w:val="2A3E22EE"/>
    <w:rsid w:val="048E2EE4"/>
    <w:rsid w:val="19B46B47"/>
    <w:rsid w:val="1DA159C8"/>
    <w:rsid w:val="2A3E22EE"/>
    <w:rsid w:val="352A658F"/>
    <w:rsid w:val="5D83570C"/>
    <w:rsid w:val="64DE4D6E"/>
    <w:rsid w:val="7606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791</Characters>
  <Lines>0</Lines>
  <Paragraphs>0</Paragraphs>
  <TotalTime>3</TotalTime>
  <ScaleCrop>false</ScaleCrop>
  <LinksUpToDate>false</LinksUpToDate>
  <CharactersWithSpaces>792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2024-02-28T04:51:00Z</dcterms:created>
  <dc:creator>paa</dc:creator>
  <cp:lastModifiedBy>吕彬妤</cp:lastModifiedBy>
  <dcterms:modified xsi:type="dcterms:W3CDTF">2024-05-28T02:14:05Z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F564034CF2BB4949885BFDE64FD15B62_12</vt:lpwstr>
  </property>
</Properties>
</file>