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杭州市足球运动管理中心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计划表</w:t>
      </w:r>
    </w:p>
    <w:tbl>
      <w:tblPr>
        <w:tblStyle w:val="4"/>
        <w:tblpPr w:leftFromText="180" w:rightFromText="180" w:vertAnchor="text" w:horzAnchor="page" w:tblpX="1015" w:tblpY="236"/>
        <w:tblOverlap w:val="never"/>
        <w:tblW w:w="144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834"/>
        <w:gridCol w:w="819"/>
        <w:gridCol w:w="681"/>
        <w:gridCol w:w="887"/>
        <w:gridCol w:w="695"/>
        <w:gridCol w:w="791"/>
        <w:gridCol w:w="696"/>
        <w:gridCol w:w="681"/>
        <w:gridCol w:w="955"/>
        <w:gridCol w:w="2168"/>
        <w:gridCol w:w="1105"/>
        <w:gridCol w:w="995"/>
        <w:gridCol w:w="1105"/>
        <w:gridCol w:w="14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tblHeader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范围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（户籍）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报名渠道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报名咨询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监督投诉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杭州市足球运动管理中心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办公室综合管理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年龄在 35周岁以下（1988年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月1日）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中国语言文学类、工商管理类、公共管理类、新闻传播学类、法学类、电子信息类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较强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的语言文字表达、沟通能力，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熟练掌握办公软件的应用，有较强的计算机操作能力和文字处理能力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，能熟练运用Word、 Excel、PPT等办公软件；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能遵守工作纪律、服从工作分配、胜任岗位要求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3.工作地点为桐庐。（不提供住宿）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关注微信公众号“钱江人才招聘信息”完成线上报名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（0571）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58501661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0571）89583311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笔试结束后，根据笔试成绩从高分到低分，按招聘岗位1:3比例确定参加面试人员（如实际参加笔试人员未达到1:3比例的，则按实际参加笔试人员确定面试对象）。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2024-07-12T05:37:23Z</dcterms:created>
  <dc:creator>Administrator.DESKTOP-F0819BH</dc:creator>
  <cp:lastModifiedBy>Administrator</cp:lastModifiedBy>
  <dcterms:modified xsi:type="dcterms:W3CDTF">2024-07-12T05:37:49Z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