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66272">
      <w:pPr>
        <w:keepNext w:val="0"/>
        <w:keepLines w:val="0"/>
        <w:pageBreakBefore w:val="0"/>
        <w:widowControl w:val="0"/>
        <w:kinsoku/>
        <w:wordWrap/>
        <w:overflowPunct/>
        <w:topLinePunct w:val="0"/>
        <w:autoSpaceDE/>
        <w:autoSpaceDN/>
        <w:bidi w:val="0"/>
        <w:adjustRightInd w:val="0"/>
        <w:snapToGrid w:val="0"/>
        <w:spacing w:after="0" w:line="590" w:lineRule="exact"/>
        <w:jc w:val="left"/>
        <w:textAlignment w:val="auto"/>
        <w:rPr>
          <w:rFonts w:hint="eastAsia" w:ascii="Times New Roman" w:hAnsi="Times New Roman" w:eastAsia="方正小标宋_GBK" w:cs="方正小标宋_GBK"/>
          <w:color w:val="auto"/>
          <w:kern w:val="0"/>
          <w:sz w:val="33"/>
          <w:szCs w:val="33"/>
          <w:lang w:val="en-US" w:eastAsia="zh-CN" w:bidi="ar"/>
        </w:rPr>
      </w:pPr>
      <w:bookmarkStart w:id="0" w:name="_GoBack"/>
      <w:r>
        <w:rPr>
          <w:rFonts w:hint="eastAsia" w:ascii="Times New Roman" w:hAnsi="Times New Roman" w:eastAsia="方正黑体_GBK" w:cs="Times New Roman"/>
          <w:color w:val="auto"/>
          <w:kern w:val="0"/>
          <w:sz w:val="33"/>
          <w:szCs w:val="33"/>
          <w:lang w:eastAsia="zh-CN"/>
        </w:rPr>
        <w:t>附件</w:t>
      </w:r>
      <w:r>
        <w:rPr>
          <w:rFonts w:hint="eastAsia" w:ascii="Times New Roman" w:hAnsi="Times New Roman" w:eastAsia="方正黑体_GBK" w:cs="Times New Roman"/>
          <w:color w:val="auto"/>
          <w:kern w:val="0"/>
          <w:sz w:val="33"/>
          <w:szCs w:val="33"/>
          <w:lang w:val="en-US" w:eastAsia="zh-CN"/>
        </w:rPr>
        <w:t>2</w:t>
      </w:r>
    </w:p>
    <w:bookmarkEnd w:id="0"/>
    <w:p w14:paraId="2B3E8EC7">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仿宋_GBK" w:cs="Times New Roman"/>
          <w:color w:val="000000"/>
          <w:kern w:val="2"/>
          <w:sz w:val="33"/>
          <w:szCs w:val="33"/>
          <w:lang w:val="en-US" w:eastAsia="zh-CN" w:bidi="ar-SA"/>
        </w:rPr>
      </w:pPr>
      <w:r>
        <w:rPr>
          <w:rFonts w:hint="default" w:ascii="方正小标宋_GBK" w:hAnsi="方正小标宋_GBK" w:eastAsia="方正小标宋_GBK" w:cs="方正小标宋_GBK"/>
          <w:color w:val="auto"/>
          <w:sz w:val="36"/>
          <w:szCs w:val="36"/>
          <w:lang w:val="en-US" w:eastAsia="zh-CN" w:bidi="ar"/>
        </w:rPr>
        <w:t>四川仁安药业有限责任公司</w:t>
      </w:r>
      <w:r>
        <w:rPr>
          <w:rFonts w:hint="eastAsia" w:ascii="方正小标宋_GBK" w:hAnsi="方正小标宋_GBK" w:eastAsia="方正小标宋_GBK" w:cs="方正小标宋_GBK"/>
          <w:color w:val="auto"/>
          <w:sz w:val="36"/>
          <w:szCs w:val="36"/>
          <w:lang w:val="en-US" w:eastAsia="zh-CN" w:bidi="ar"/>
        </w:rPr>
        <w:t>简介</w:t>
      </w:r>
    </w:p>
    <w:p w14:paraId="3D6EB4F5">
      <w:pPr>
        <w:keepNext w:val="0"/>
        <w:keepLines w:val="0"/>
        <w:pageBreakBefore w:val="0"/>
        <w:widowControl w:val="0"/>
        <w:kinsoku/>
        <w:wordWrap/>
        <w:overflowPunct/>
        <w:topLinePunct w:val="0"/>
        <w:autoSpaceDE/>
        <w:autoSpaceDN/>
        <w:bidi w:val="0"/>
        <w:adjustRightInd/>
        <w:snapToGrid/>
        <w:spacing w:after="0" w:line="590" w:lineRule="exact"/>
        <w:ind w:firstLine="660" w:firstLineChars="200"/>
        <w:jc w:val="left"/>
        <w:textAlignment w:val="auto"/>
        <w:rPr>
          <w:rFonts w:hint="default" w:ascii="Times New Roman" w:hAnsi="Times New Roman" w:eastAsia="方正仿宋_GBK" w:cs="Times New Roman"/>
          <w:kern w:val="0"/>
          <w:sz w:val="33"/>
          <w:szCs w:val="33"/>
        </w:rPr>
      </w:pPr>
    </w:p>
    <w:p w14:paraId="633F4AF5">
      <w:pPr>
        <w:keepNext w:val="0"/>
        <w:keepLines w:val="0"/>
        <w:pageBreakBefore w:val="0"/>
        <w:widowControl w:val="0"/>
        <w:kinsoku/>
        <w:wordWrap/>
        <w:overflowPunct/>
        <w:topLinePunct w:val="0"/>
        <w:autoSpaceDE/>
        <w:autoSpaceDN/>
        <w:bidi w:val="0"/>
        <w:adjustRightInd/>
        <w:snapToGrid/>
        <w:spacing w:after="0" w:line="590" w:lineRule="exact"/>
        <w:ind w:firstLine="660" w:firstLineChars="200"/>
        <w:jc w:val="left"/>
        <w:textAlignment w:val="auto"/>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kern w:val="0"/>
          <w:sz w:val="33"/>
          <w:szCs w:val="33"/>
        </w:rPr>
        <w:t>四川仁安药业有限责任公司属成都倍特药业股份有限公司全资子公司，成立于2013年06月，是一家致力于原料药和中间体研发、生产及销售的高新技术企业。公司位于四川省广安市岳池县医药产业园，占地面积330亩，现有员工1400余人，拥有生产车间15个，其中欧盟、日本、韩国认证车间3个，中试车间1个，主要生产青霉素类无菌原料药、头孢类非无菌原料药、普通非无菌原料药（包括麻精类药品）、易制毒原料药等，生产许可证范围品种175个，CDE原料药登记品种144个，其中62个品种通过了国内GMP认证或符合性检查，通过欧盟、日本、韩国认证品种4个。已逐步形成以麦角类系列、无菌青霉素系列、造影剂系列、特色发酵类产品、其他类产品（抗肿瘤、抗病毒、麻精类等）5大类产品布局。产品畅销全国，远销亚洲、欧洲、非洲、美洲20多个国家和地区。</w:t>
      </w:r>
    </w:p>
    <w:p w14:paraId="11D9B34A">
      <w:pPr>
        <w:keepNext w:val="0"/>
        <w:keepLines w:val="0"/>
        <w:pageBreakBefore w:val="0"/>
        <w:widowControl w:val="0"/>
        <w:kinsoku/>
        <w:wordWrap/>
        <w:overflowPunct/>
        <w:topLinePunct w:val="0"/>
        <w:autoSpaceDE/>
        <w:autoSpaceDN/>
        <w:bidi w:val="0"/>
        <w:adjustRightInd/>
        <w:snapToGrid/>
        <w:spacing w:after="0" w:line="590" w:lineRule="exact"/>
        <w:ind w:firstLine="660" w:firstLineChars="200"/>
        <w:jc w:val="left"/>
        <w:textAlignment w:val="auto"/>
        <w:rPr>
          <w:rFonts w:hint="default" w:ascii="Times New Roman" w:hAnsi="Times New Roman" w:eastAsia="方正仿宋_GBK" w:cs="Times New Roman"/>
          <w:kern w:val="0"/>
          <w:sz w:val="33"/>
          <w:szCs w:val="33"/>
        </w:rPr>
      </w:pPr>
      <w:r>
        <w:rPr>
          <w:rFonts w:hint="eastAsia" w:ascii="Times New Roman" w:hAnsi="Times New Roman" w:eastAsia="方正仿宋_GBK" w:cs="Times New Roman"/>
          <w:kern w:val="0"/>
          <w:sz w:val="33"/>
          <w:szCs w:val="33"/>
          <w:lang w:eastAsia="zh-CN"/>
        </w:rPr>
        <w:t>公司于2024年7月创建四川省首批中试研发平台，</w:t>
      </w:r>
      <w:r>
        <w:rPr>
          <w:rFonts w:hint="default" w:ascii="Times New Roman" w:hAnsi="Times New Roman" w:eastAsia="方正仿宋_GBK" w:cs="Times New Roman"/>
          <w:kern w:val="0"/>
          <w:sz w:val="33"/>
          <w:szCs w:val="33"/>
        </w:rPr>
        <w:t>组建了广安市生物医药产业技术研究院、广安市院士专家工作站、广安市麦角类原料药重点实验室等多个科研平台，在原料药生产工艺开发领域取得突出成绩，目前已授权专利21项，其中发明专利6项。被国家、省、市各级管理部门先后授予了国家高新技术企业、四川省企业技术中心、四川省绿色工厂、四川省级科技成果转移转化示范企业、四川省技术创新示范企业、四川省科技创新领军企业、四川省科普示范企业、广安民营企业50强、广安市科技创新10强企业、广安市优秀民营企业等荣誉。</w:t>
      </w:r>
    </w:p>
    <w:p w14:paraId="1B18B835">
      <w:pPr>
        <w:keepNext w:val="0"/>
        <w:keepLines w:val="0"/>
        <w:pageBreakBefore w:val="0"/>
        <w:widowControl w:val="0"/>
        <w:kinsoku/>
        <w:wordWrap/>
        <w:overflowPunct/>
        <w:topLinePunct w:val="0"/>
        <w:autoSpaceDE/>
        <w:autoSpaceDN/>
        <w:bidi w:val="0"/>
        <w:adjustRightInd/>
        <w:snapToGrid/>
        <w:spacing w:after="0" w:line="590" w:lineRule="exact"/>
        <w:ind w:firstLine="660" w:firstLineChars="200"/>
        <w:jc w:val="left"/>
        <w:textAlignment w:val="auto"/>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kern w:val="0"/>
          <w:sz w:val="33"/>
          <w:szCs w:val="33"/>
        </w:rPr>
        <w:t>公司将继续专注于原料药核心竞争力提升的发展理念，在</w:t>
      </w:r>
      <w:r>
        <w:rPr>
          <w:rFonts w:hint="eastAsia" w:ascii="方正仿宋_GBK" w:hAnsi="方正仿宋_GBK" w:eastAsia="方正仿宋_GBK" w:cs="方正仿宋_GBK"/>
          <w:kern w:val="0"/>
          <w:sz w:val="33"/>
          <w:szCs w:val="33"/>
        </w:rPr>
        <w:t>“担当、进取、诚信、感恩”</w:t>
      </w:r>
      <w:r>
        <w:rPr>
          <w:rFonts w:hint="default" w:ascii="Times New Roman" w:hAnsi="Times New Roman" w:eastAsia="方正仿宋_GBK" w:cs="Times New Roman"/>
          <w:kern w:val="0"/>
          <w:sz w:val="33"/>
          <w:szCs w:val="33"/>
        </w:rPr>
        <w:t>的核心价值观方针指引下，力争成为国际一流的原料药生产企业。</w:t>
      </w:r>
    </w:p>
    <w:p w14:paraId="203DBCBC">
      <w:pPr>
        <w:keepNext w:val="0"/>
        <w:keepLines w:val="0"/>
        <w:pageBreakBefore w:val="0"/>
        <w:widowControl/>
        <w:kinsoku/>
        <w:wordWrap/>
        <w:overflowPunct/>
        <w:topLinePunct w:val="0"/>
        <w:autoSpaceDE/>
        <w:autoSpaceDN/>
        <w:bidi w:val="0"/>
        <w:adjustRightInd/>
        <w:snapToGrid w:val="0"/>
        <w:spacing w:after="0" w:line="570" w:lineRule="exact"/>
        <w:ind w:firstLine="660" w:firstLineChars="200"/>
        <w:jc w:val="both"/>
        <w:textAlignment w:val="auto"/>
        <w:rPr>
          <w:rFonts w:hint="default" w:ascii="Times New Roman" w:hAnsi="Times New Roman" w:eastAsia="方正仿宋_GBK" w:cs="Times New Roman"/>
          <w:color w:val="000000"/>
          <w:kern w:val="2"/>
          <w:sz w:val="33"/>
          <w:szCs w:val="33"/>
          <w:lang w:val="en-US" w:eastAsia="zh-CN" w:bidi="ar-SA"/>
        </w:rPr>
        <w:sectPr>
          <w:pgSz w:w="11906" w:h="16838"/>
          <w:pgMar w:top="2041" w:right="1531" w:bottom="1701" w:left="1531" w:header="851" w:footer="1474" w:gutter="0"/>
          <w:cols w:space="720" w:num="1"/>
          <w:docGrid w:type="lines" w:linePitch="312" w:charSpace="0"/>
        </w:sectPr>
      </w:pPr>
    </w:p>
    <w:p w14:paraId="0B3D7AA2">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color w:val="auto"/>
          <w:sz w:val="36"/>
          <w:szCs w:val="36"/>
          <w:lang w:val="en-US" w:eastAsia="zh-CN" w:bidi="ar"/>
        </w:rPr>
      </w:pPr>
      <w:r>
        <w:rPr>
          <w:rFonts w:hint="default" w:ascii="方正小标宋_GBK" w:hAnsi="方正小标宋_GBK" w:eastAsia="方正小标宋_GBK" w:cs="方正小标宋_GBK"/>
          <w:color w:val="auto"/>
          <w:sz w:val="36"/>
          <w:szCs w:val="36"/>
          <w:lang w:val="en-US" w:eastAsia="zh-CN" w:bidi="ar"/>
        </w:rPr>
        <w:t>四川泰恩康制药有限公司</w:t>
      </w:r>
      <w:r>
        <w:rPr>
          <w:rFonts w:hint="eastAsia" w:ascii="方正小标宋_GBK" w:hAnsi="方正小标宋_GBK" w:eastAsia="方正小标宋_GBK" w:cs="方正小标宋_GBK"/>
          <w:color w:val="auto"/>
          <w:sz w:val="36"/>
          <w:szCs w:val="36"/>
          <w:lang w:val="en-US" w:eastAsia="zh-CN" w:bidi="ar"/>
        </w:rPr>
        <w:t>简介</w:t>
      </w:r>
    </w:p>
    <w:p w14:paraId="38793CAC">
      <w:pPr>
        <w:keepNext w:val="0"/>
        <w:keepLines w:val="0"/>
        <w:pageBreakBefore w:val="0"/>
        <w:widowControl/>
        <w:kinsoku/>
        <w:wordWrap/>
        <w:overflowPunct/>
        <w:topLinePunct w:val="0"/>
        <w:autoSpaceDE/>
        <w:autoSpaceDN/>
        <w:bidi w:val="0"/>
        <w:adjustRightInd/>
        <w:snapToGrid w:val="0"/>
        <w:spacing w:after="0" w:line="590" w:lineRule="exact"/>
        <w:ind w:firstLine="660" w:firstLineChars="200"/>
        <w:jc w:val="both"/>
        <w:textAlignment w:val="auto"/>
        <w:rPr>
          <w:rFonts w:hint="default" w:ascii="Times New Roman" w:hAnsi="Times New Roman" w:eastAsia="方正仿宋_GBK" w:cs="Times New Roman"/>
          <w:color w:val="000000"/>
          <w:kern w:val="2"/>
          <w:sz w:val="33"/>
          <w:szCs w:val="33"/>
          <w:lang w:val="en-US" w:eastAsia="zh-CN" w:bidi="ar-SA"/>
        </w:rPr>
      </w:pPr>
    </w:p>
    <w:p w14:paraId="27B33EAF">
      <w:pPr>
        <w:keepNext w:val="0"/>
        <w:keepLines w:val="0"/>
        <w:pageBreakBefore w:val="0"/>
        <w:widowControl/>
        <w:kinsoku/>
        <w:wordWrap/>
        <w:overflowPunct/>
        <w:topLinePunct w:val="0"/>
        <w:autoSpaceDE/>
        <w:autoSpaceDN/>
        <w:bidi w:val="0"/>
        <w:adjustRightInd/>
        <w:snapToGrid w:val="0"/>
        <w:spacing w:after="0" w:line="590" w:lineRule="exact"/>
        <w:ind w:firstLine="660" w:firstLineChars="200"/>
        <w:jc w:val="both"/>
        <w:textAlignment w:val="auto"/>
        <w:rPr>
          <w:rFonts w:hint="default" w:ascii="Times New Roman" w:hAnsi="Times New Roman" w:eastAsia="方正仿宋_GBK" w:cs="Times New Roman"/>
          <w:color w:val="000000"/>
          <w:kern w:val="2"/>
          <w:sz w:val="33"/>
          <w:szCs w:val="33"/>
          <w:lang w:val="en-US" w:eastAsia="zh-CN" w:bidi="ar-SA"/>
        </w:rPr>
      </w:pPr>
      <w:r>
        <w:rPr>
          <w:rFonts w:hint="default" w:ascii="Times New Roman" w:hAnsi="Times New Roman" w:eastAsia="方正仿宋_GBK" w:cs="Times New Roman"/>
          <w:color w:val="000000"/>
          <w:kern w:val="2"/>
          <w:sz w:val="33"/>
          <w:szCs w:val="33"/>
          <w:lang w:val="en-US" w:eastAsia="zh-CN" w:bidi="ar-SA"/>
        </w:rPr>
        <w:t>四川泰恩康制药有限公司为广东泰恩康医药股份有限公司（股票代码：301263）全资子公司，是一家以仿制药原料药及中间体的研发、生产与销售为一体的医药公司。公司成立于2020年，工厂位于四川省岳池经济开发区，总占地面积66,600平方米，生产车间建设符合GMP标准，主要生产特色高附加值的各类原料药和高级中间体，产能预计达300吨/年。</w:t>
      </w:r>
    </w:p>
    <w:p w14:paraId="6952D450">
      <w:pPr>
        <w:keepNext w:val="0"/>
        <w:keepLines w:val="0"/>
        <w:pageBreakBefore w:val="0"/>
        <w:widowControl/>
        <w:kinsoku/>
        <w:wordWrap/>
        <w:overflowPunct/>
        <w:topLinePunct w:val="0"/>
        <w:autoSpaceDE/>
        <w:autoSpaceDN/>
        <w:bidi w:val="0"/>
        <w:adjustRightInd/>
        <w:snapToGrid w:val="0"/>
        <w:spacing w:after="0" w:line="590" w:lineRule="exact"/>
        <w:ind w:firstLine="660" w:firstLineChars="200"/>
        <w:jc w:val="both"/>
        <w:textAlignment w:val="auto"/>
        <w:rPr>
          <w:rFonts w:hint="default" w:ascii="Times New Roman" w:hAnsi="Times New Roman" w:eastAsia="方正仿宋_GBK" w:cs="Times New Roman"/>
          <w:color w:val="000000"/>
          <w:kern w:val="2"/>
          <w:sz w:val="33"/>
          <w:szCs w:val="33"/>
          <w:lang w:val="en-US" w:eastAsia="zh-CN" w:bidi="ar-SA"/>
        </w:rPr>
      </w:pPr>
      <w:r>
        <w:rPr>
          <w:rFonts w:hint="default" w:ascii="Times New Roman" w:hAnsi="Times New Roman" w:eastAsia="方正仿宋_GBK" w:cs="Times New Roman"/>
          <w:color w:val="000000"/>
          <w:kern w:val="2"/>
          <w:sz w:val="33"/>
          <w:szCs w:val="33"/>
          <w:lang w:val="en-US" w:eastAsia="zh-CN" w:bidi="ar-SA"/>
        </w:rPr>
        <w:t>公司管理和研发团队由在药物研发、药物国内外注册及GMP管理具有丰富经验的高级专家组成。凭借公司管理研发团队对药物研发风险控制与GMP的深度了解和把握，开发出一系列值得信赖的药物制备工艺。公司与国内一线药厂和研究机构开展了广泛的项目合作，同时也与国际医药大公司积极推进业务合作，努力开拓国际市场。公司专注于研制开发全球卓越产品，其中以抗肿瘤药、抗感染、肝胆系统、肠胃系统、神经系统等为主要领域。</w:t>
      </w:r>
    </w:p>
    <w:p w14:paraId="37BD442D">
      <w:pPr>
        <w:keepNext w:val="0"/>
        <w:keepLines w:val="0"/>
        <w:pageBreakBefore w:val="0"/>
        <w:widowControl/>
        <w:kinsoku/>
        <w:wordWrap/>
        <w:overflowPunct/>
        <w:topLinePunct w:val="0"/>
        <w:autoSpaceDE/>
        <w:autoSpaceDN/>
        <w:bidi w:val="0"/>
        <w:adjustRightInd w:val="0"/>
        <w:snapToGrid w:val="0"/>
        <w:spacing w:after="120" w:line="590" w:lineRule="exact"/>
        <w:ind w:firstLine="660" w:firstLineChars="200"/>
        <w:textAlignment w:val="auto"/>
        <w:rPr>
          <w:rFonts w:hint="default" w:ascii="Times New Roman" w:hAnsi="Times New Roman" w:eastAsia="方正仿宋_GBK" w:cs="Times New Roman"/>
          <w:color w:val="000000"/>
          <w:kern w:val="2"/>
          <w:sz w:val="33"/>
          <w:szCs w:val="33"/>
          <w:lang w:val="en-US" w:eastAsia="zh-CN" w:bidi="ar-SA"/>
        </w:rPr>
      </w:pPr>
      <w:r>
        <w:rPr>
          <w:rFonts w:hint="default" w:ascii="Times New Roman" w:hAnsi="Times New Roman" w:eastAsia="方正仿宋_GBK" w:cs="Times New Roman"/>
          <w:color w:val="000000"/>
          <w:kern w:val="2"/>
          <w:sz w:val="33"/>
          <w:szCs w:val="33"/>
          <w:lang w:val="en-US" w:eastAsia="zh-CN" w:bidi="ar-SA"/>
        </w:rPr>
        <w:t>四川泰恩康依托于集团子公司安徽泰恩康制药有限公司的制剂生产需求，同时积极开拓国内外市场业务，追求卓越，精益求精，致力于成为国际知名原料药中间体生产商。</w:t>
      </w:r>
    </w:p>
    <w:p w14:paraId="15325801"/>
    <w:sectPr>
      <w:pgSz w:w="11906" w:h="16838"/>
      <w:pgMar w:top="2041" w:right="1531" w:bottom="1701"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B0E7B"/>
    <w:rsid w:val="44AB0E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2024-12-31T01:48:00Z</dcterms:created>
  <dc:creator>默欣</dc:creator>
  <cp:lastModifiedBy>默欣</cp:lastModifiedBy>
  <dcterms:modified xsi:type="dcterms:W3CDTF">2024-12-31T01:49:12Z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242B96B898A74209B1AF0357F93A382C_11</vt:lpwstr>
  </property>
  <property fmtid="{D5CDD505-2E9C-101B-9397-08002B2CF9AE}" pid="4" name="KSOTemplateDocerSaveRecord">
    <vt:lpwstr>eyJoZGlkIjoiM2NkZDYyOTNkYjNhM2YzMTY0NDAxOGNmZTRhNDA2OWQiLCJ1c2VySWQiOiIyOTQxNDAyMjcifQ==</vt:lpwstr>
  </property>
</Properties>
</file>