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F667C">
      <w:pPr>
        <w:jc w:val="left"/>
        <w:rPr>
          <w:rFonts w:hint="default" w:ascii="Times New Roman" w:hAnsi="Times New Roman" w:eastAsia="黑体" w:cs="黑体"/>
          <w:b w:val="0"/>
          <w:spacing w:val="-17"/>
          <w:sz w:val="28"/>
          <w:szCs w:val="28"/>
          <w:lang w:val="en-US" w:eastAsia="zh-CN"/>
        </w:rPr>
      </w:pPr>
      <w:r>
        <w:rPr>
          <w:rFonts w:hint="eastAsia" w:ascii="Times New Roman" w:hAnsi="Times New Roman" w:eastAsia="黑体" w:cs="黑体"/>
          <w:b w:val="0"/>
          <w:spacing w:val="-17"/>
          <w:sz w:val="28"/>
          <w:szCs w:val="28"/>
          <w:lang w:eastAsia="zh-CN"/>
        </w:rPr>
        <w:t>附件</w:t>
      </w:r>
      <w:r>
        <w:rPr>
          <w:rFonts w:hint="eastAsia" w:ascii="Times New Roman" w:hAnsi="Times New Roman" w:eastAsia="黑体" w:cs="黑体"/>
          <w:b w:val="0"/>
          <w:spacing w:val="-17"/>
          <w:sz w:val="28"/>
          <w:szCs w:val="28"/>
          <w:lang w:val="en-US" w:eastAsia="zh-CN"/>
        </w:rPr>
        <w:t>2</w:t>
      </w:r>
    </w:p>
    <w:p w14:paraId="0F623F17">
      <w:pPr>
        <w:jc w:val="center"/>
        <w:rPr>
          <w:rFonts w:hint="eastAsia" w:ascii="Times New Roman" w:hAnsi="Times New Roman" w:eastAsia="方正小标宋简体"/>
          <w:b w:val="0"/>
          <w:spacing w:val="0"/>
          <w:sz w:val="32"/>
          <w:szCs w:val="32"/>
          <w:lang w:eastAsia="zh-CN"/>
        </w:rPr>
      </w:pPr>
      <w:r>
        <w:rPr>
          <w:rFonts w:hint="eastAsia" w:ascii="Times New Roman" w:hAnsi="Times New Roman" w:eastAsia="方正小标宋简体"/>
          <w:b w:val="0"/>
          <w:spacing w:val="0"/>
          <w:sz w:val="32"/>
          <w:szCs w:val="32"/>
        </w:rPr>
        <w:t>通辽经济技术开发区事业单位</w:t>
      </w:r>
      <w:r>
        <w:rPr>
          <w:rFonts w:hint="eastAsia" w:ascii="Times New Roman" w:hAnsi="Times New Roman" w:eastAsia="方正小标宋简体"/>
          <w:b w:val="0"/>
          <w:spacing w:val="0"/>
          <w:sz w:val="32"/>
          <w:szCs w:val="32"/>
          <w:lang w:eastAsia="zh-CN"/>
        </w:rPr>
        <w:t>急需紧缺</w:t>
      </w:r>
      <w:r>
        <w:rPr>
          <w:rFonts w:hint="eastAsia" w:ascii="Times New Roman" w:hAnsi="Times New Roman" w:eastAsia="方正小标宋简体"/>
          <w:b w:val="0"/>
          <w:spacing w:val="0"/>
          <w:sz w:val="32"/>
          <w:szCs w:val="32"/>
        </w:rPr>
        <w:t>人才引进</w:t>
      </w:r>
      <w:r>
        <w:rPr>
          <w:rFonts w:hint="eastAsia" w:ascii="Times New Roman" w:hAnsi="Times New Roman" w:eastAsia="方正小标宋简体"/>
          <w:b w:val="0"/>
          <w:spacing w:val="0"/>
          <w:sz w:val="32"/>
          <w:szCs w:val="32"/>
          <w:lang w:eastAsia="zh-CN"/>
        </w:rPr>
        <w:t>（开发区本级）</w:t>
      </w:r>
    </w:p>
    <w:p w14:paraId="5B81A41F">
      <w:pPr>
        <w:jc w:val="center"/>
        <w:rPr>
          <w:rFonts w:hint="eastAsia" w:ascii="Times New Roman" w:hAnsi="Times New Roman" w:eastAsia="方正小标宋简体"/>
          <w:b w:val="0"/>
          <w:spacing w:val="0"/>
          <w:sz w:val="36"/>
          <w:szCs w:val="36"/>
          <w:lang w:val="en-US" w:eastAsia="zh-CN"/>
        </w:rPr>
      </w:pPr>
      <w:r>
        <w:rPr>
          <w:rFonts w:hint="eastAsia" w:ascii="Times New Roman" w:hAnsi="Times New Roman" w:eastAsia="方正小标宋简体"/>
          <w:b w:val="0"/>
          <w:spacing w:val="0"/>
          <w:sz w:val="32"/>
          <w:szCs w:val="32"/>
        </w:rPr>
        <w:t>人才评价表</w:t>
      </w:r>
    </w:p>
    <w:p w14:paraId="1AC26321">
      <w:pPr>
        <w:jc w:val="both"/>
        <w:rPr>
          <w:rFonts w:ascii="Times New Roman" w:hAnsi="Times New Roman" w:eastAsia="方正小标宋简体"/>
          <w:b w:val="0"/>
          <w:sz w:val="36"/>
          <w:szCs w:val="36"/>
        </w:rPr>
      </w:pPr>
      <w:r>
        <w:rPr>
          <w:rFonts w:hint="eastAsia" w:ascii="Times New Roman" w:hAnsi="Times New Roman" w:eastAsia="方正小标宋简体"/>
          <w:b w:val="0"/>
          <w:sz w:val="24"/>
          <w:szCs w:val="24"/>
          <w:lang w:eastAsia="zh-CN"/>
        </w:rPr>
        <w:t>报考单位：</w:t>
      </w:r>
      <w:r>
        <w:rPr>
          <w:rFonts w:hint="eastAsia" w:ascii="Times New Roman" w:hAnsi="Times New Roman" w:eastAsia="方正小标宋简体"/>
          <w:b w:val="0"/>
          <w:sz w:val="24"/>
          <w:szCs w:val="24"/>
          <w:u w:val="single"/>
          <w:lang w:val="en-US" w:eastAsia="zh-CN"/>
        </w:rPr>
        <w:t xml:space="preserve">               </w:t>
      </w:r>
      <w:r>
        <w:rPr>
          <w:rFonts w:hint="eastAsia" w:ascii="Times New Roman" w:hAnsi="Times New Roman" w:eastAsia="方正小标宋简体"/>
          <w:b w:val="0"/>
          <w:sz w:val="24"/>
          <w:szCs w:val="24"/>
          <w:u w:val="none"/>
          <w:lang w:val="en-US" w:eastAsia="zh-CN"/>
        </w:rPr>
        <w:t xml:space="preserve"> 报考岗位：</w:t>
      </w:r>
      <w:r>
        <w:rPr>
          <w:rFonts w:hint="eastAsia" w:ascii="Times New Roman" w:hAnsi="Times New Roman" w:eastAsia="方正小标宋简体"/>
          <w:b w:val="0"/>
          <w:sz w:val="24"/>
          <w:szCs w:val="24"/>
          <w:u w:val="single"/>
          <w:lang w:val="en-US" w:eastAsia="zh-CN"/>
        </w:rPr>
        <w:t xml:space="preserve">              </w:t>
      </w:r>
      <w:r>
        <w:rPr>
          <w:rFonts w:hint="eastAsia" w:ascii="Times New Roman" w:hAnsi="Times New Roman" w:eastAsia="方正小标宋简体"/>
          <w:b w:val="0"/>
          <w:sz w:val="24"/>
          <w:szCs w:val="24"/>
          <w:u w:val="none"/>
          <w:lang w:val="en-US" w:eastAsia="zh-CN"/>
        </w:rPr>
        <w:t xml:space="preserve">   </w:t>
      </w:r>
      <w:r>
        <w:rPr>
          <w:rFonts w:hint="eastAsia" w:ascii="Times New Roman" w:hAnsi="Times New Roman" w:eastAsia="方正小标宋简体"/>
          <w:b w:val="0"/>
          <w:sz w:val="24"/>
          <w:szCs w:val="24"/>
          <w:lang w:val="en-US" w:eastAsia="zh-CN"/>
        </w:rPr>
        <w:t>自评得分：</w:t>
      </w:r>
      <w:r>
        <w:rPr>
          <w:rFonts w:hint="eastAsia" w:ascii="Times New Roman" w:hAnsi="Times New Roman" w:eastAsia="方正小标宋简体"/>
          <w:b w:val="0"/>
          <w:sz w:val="24"/>
          <w:szCs w:val="24"/>
          <w:u w:val="single"/>
          <w:lang w:val="en-US" w:eastAsia="zh-CN"/>
        </w:rPr>
        <w:t xml:space="preserve">          </w:t>
      </w:r>
      <w:r>
        <w:rPr>
          <w:rFonts w:hint="eastAsia" w:ascii="Times New Roman" w:hAnsi="Times New Roman" w:eastAsia="方正小标宋简体"/>
          <w:b w:val="0"/>
          <w:sz w:val="24"/>
          <w:szCs w:val="24"/>
          <w:u w:val="none"/>
          <w:lang w:val="en-US" w:eastAsia="zh-CN"/>
        </w:rPr>
        <w:t xml:space="preserve">  </w:t>
      </w:r>
      <w:r>
        <w:rPr>
          <w:rFonts w:hint="eastAsia" w:ascii="Times New Roman" w:hAnsi="Times New Roman" w:eastAsia="方正小标宋简体"/>
          <w:b w:val="0"/>
          <w:sz w:val="24"/>
          <w:szCs w:val="24"/>
          <w:lang w:val="en-US" w:eastAsia="zh-CN"/>
        </w:rPr>
        <w:t xml:space="preserve">复核得分： </w:t>
      </w:r>
      <w:r>
        <w:rPr>
          <w:rFonts w:hint="eastAsia" w:ascii="Times New Roman" w:hAnsi="Times New Roman" w:eastAsia="方正小标宋简体"/>
          <w:b w:val="0"/>
          <w:sz w:val="24"/>
          <w:szCs w:val="24"/>
          <w:u w:val="single"/>
          <w:lang w:val="en-US" w:eastAsia="zh-CN"/>
        </w:rPr>
        <w:t xml:space="preserve">           </w:t>
      </w:r>
    </w:p>
    <w:tbl>
      <w:tblPr>
        <w:tblStyle w:val="3"/>
        <w:tblW w:w="10600" w:type="dxa"/>
        <w:jc w:val="center"/>
        <w:tblLayout w:type="fixed"/>
        <w:tblCellMar>
          <w:top w:w="0" w:type="dxa"/>
          <w:left w:w="108" w:type="dxa"/>
          <w:bottom w:w="0" w:type="dxa"/>
          <w:right w:w="108" w:type="dxa"/>
        </w:tblCellMar>
      </w:tblPr>
      <w:tblGrid>
        <w:gridCol w:w="739"/>
        <w:gridCol w:w="713"/>
        <w:gridCol w:w="5377"/>
        <w:gridCol w:w="640"/>
        <w:gridCol w:w="863"/>
        <w:gridCol w:w="714"/>
        <w:gridCol w:w="798"/>
        <w:gridCol w:w="756"/>
      </w:tblGrid>
      <w:tr w14:paraId="32A634CE">
        <w:tblPrEx>
          <w:tblCellMar>
            <w:top w:w="0" w:type="dxa"/>
            <w:left w:w="108" w:type="dxa"/>
            <w:bottom w:w="0" w:type="dxa"/>
            <w:right w:w="108" w:type="dxa"/>
          </w:tblCellMar>
        </w:tblPrEx>
        <w:trPr>
          <w:trHeight w:val="611"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2648F916">
            <w:pPr>
              <w:widowControl/>
              <w:jc w:val="center"/>
              <w:rPr>
                <w:rFonts w:ascii="Times New Roman" w:hAnsi="Times New Roman" w:eastAsia="黑体" w:cs="宋体"/>
                <w:b w:val="0"/>
                <w:color w:val="000000"/>
                <w:spacing w:val="0"/>
                <w:sz w:val="21"/>
                <w:szCs w:val="24"/>
              </w:rPr>
            </w:pPr>
            <w:r>
              <w:rPr>
                <w:rFonts w:hint="eastAsia" w:ascii="Times New Roman" w:hAnsi="Times New Roman" w:eastAsia="黑体" w:cs="宋体"/>
                <w:b w:val="0"/>
                <w:color w:val="000000"/>
                <w:spacing w:val="0"/>
                <w:sz w:val="21"/>
                <w:szCs w:val="24"/>
              </w:rPr>
              <w:t>评价类别</w:t>
            </w:r>
          </w:p>
        </w:tc>
        <w:tc>
          <w:tcPr>
            <w:tcW w:w="713" w:type="dxa"/>
            <w:tcBorders>
              <w:top w:val="single" w:color="auto" w:sz="4" w:space="0"/>
              <w:left w:val="nil"/>
              <w:bottom w:val="single" w:color="auto" w:sz="4" w:space="0"/>
              <w:right w:val="single" w:color="auto" w:sz="4" w:space="0"/>
            </w:tcBorders>
            <w:shd w:val="clear" w:color="auto" w:fill="auto"/>
            <w:vAlign w:val="center"/>
          </w:tcPr>
          <w:p w14:paraId="302A3061">
            <w:pPr>
              <w:widowControl/>
              <w:jc w:val="center"/>
              <w:rPr>
                <w:rFonts w:ascii="Times New Roman" w:hAnsi="Times New Roman" w:eastAsia="黑体" w:cs="宋体"/>
                <w:b w:val="0"/>
                <w:color w:val="000000"/>
                <w:spacing w:val="0"/>
                <w:sz w:val="21"/>
                <w:szCs w:val="24"/>
              </w:rPr>
            </w:pPr>
            <w:r>
              <w:rPr>
                <w:rFonts w:hint="eastAsia" w:ascii="Times New Roman" w:hAnsi="Times New Roman" w:eastAsia="黑体" w:cs="宋体"/>
                <w:b w:val="0"/>
                <w:color w:val="000000"/>
                <w:spacing w:val="0"/>
                <w:sz w:val="21"/>
                <w:szCs w:val="24"/>
              </w:rPr>
              <w:t>评价</w:t>
            </w:r>
          </w:p>
          <w:p w14:paraId="36E1A133">
            <w:pPr>
              <w:widowControl/>
              <w:jc w:val="center"/>
              <w:rPr>
                <w:rFonts w:ascii="Times New Roman" w:hAnsi="Times New Roman" w:eastAsia="黑体" w:cs="宋体"/>
                <w:b w:val="0"/>
                <w:color w:val="000000"/>
                <w:spacing w:val="0"/>
                <w:sz w:val="21"/>
                <w:szCs w:val="24"/>
              </w:rPr>
            </w:pPr>
            <w:r>
              <w:rPr>
                <w:rFonts w:hint="eastAsia" w:ascii="Times New Roman" w:hAnsi="Times New Roman" w:eastAsia="黑体" w:cs="宋体"/>
                <w:b w:val="0"/>
                <w:color w:val="000000"/>
                <w:spacing w:val="0"/>
                <w:sz w:val="21"/>
                <w:szCs w:val="24"/>
              </w:rPr>
              <w:t>项目</w:t>
            </w:r>
          </w:p>
        </w:tc>
        <w:tc>
          <w:tcPr>
            <w:tcW w:w="5377" w:type="dxa"/>
            <w:tcBorders>
              <w:top w:val="single" w:color="auto" w:sz="4" w:space="0"/>
              <w:left w:val="nil"/>
              <w:bottom w:val="single" w:color="auto" w:sz="4" w:space="0"/>
              <w:right w:val="single" w:color="auto" w:sz="4" w:space="0"/>
            </w:tcBorders>
            <w:shd w:val="clear" w:color="auto" w:fill="auto"/>
            <w:vAlign w:val="center"/>
          </w:tcPr>
          <w:p w14:paraId="3464475C">
            <w:pPr>
              <w:widowControl/>
              <w:jc w:val="center"/>
              <w:rPr>
                <w:rFonts w:ascii="Times New Roman" w:hAnsi="Times New Roman" w:eastAsia="黑体" w:cs="宋体"/>
                <w:b w:val="0"/>
                <w:color w:val="000000"/>
                <w:spacing w:val="0"/>
                <w:sz w:val="21"/>
                <w:szCs w:val="24"/>
              </w:rPr>
            </w:pPr>
            <w:r>
              <w:rPr>
                <w:rFonts w:hint="eastAsia" w:ascii="Times New Roman" w:hAnsi="Times New Roman" w:eastAsia="黑体" w:cs="宋体"/>
                <w:b w:val="0"/>
                <w:color w:val="000000"/>
                <w:spacing w:val="0"/>
                <w:sz w:val="21"/>
                <w:szCs w:val="24"/>
              </w:rPr>
              <w:t>赋分标准</w:t>
            </w:r>
          </w:p>
        </w:tc>
        <w:tc>
          <w:tcPr>
            <w:tcW w:w="640" w:type="dxa"/>
            <w:tcBorders>
              <w:top w:val="single" w:color="auto" w:sz="4" w:space="0"/>
              <w:left w:val="nil"/>
              <w:bottom w:val="single" w:color="auto" w:sz="4" w:space="0"/>
              <w:right w:val="single" w:color="auto" w:sz="4" w:space="0"/>
            </w:tcBorders>
            <w:shd w:val="clear" w:color="auto" w:fill="auto"/>
            <w:vAlign w:val="center"/>
          </w:tcPr>
          <w:p w14:paraId="704577BA">
            <w:pPr>
              <w:widowControl/>
              <w:jc w:val="center"/>
              <w:rPr>
                <w:rFonts w:ascii="Times New Roman" w:hAnsi="Times New Roman" w:eastAsia="黑体" w:cs="宋体"/>
                <w:b w:val="0"/>
                <w:color w:val="000000"/>
                <w:spacing w:val="0"/>
                <w:sz w:val="21"/>
                <w:szCs w:val="24"/>
              </w:rPr>
            </w:pPr>
            <w:r>
              <w:rPr>
                <w:rFonts w:hint="eastAsia" w:ascii="Times New Roman" w:hAnsi="Times New Roman" w:eastAsia="黑体" w:cs="宋体"/>
                <w:b w:val="0"/>
                <w:color w:val="000000"/>
                <w:spacing w:val="0"/>
                <w:sz w:val="21"/>
                <w:szCs w:val="24"/>
              </w:rPr>
              <w:t>赋分</w:t>
            </w:r>
          </w:p>
          <w:p w14:paraId="01D7D1EA">
            <w:pPr>
              <w:widowControl/>
              <w:jc w:val="center"/>
              <w:rPr>
                <w:rFonts w:ascii="Times New Roman" w:hAnsi="Times New Roman" w:eastAsia="黑体" w:cs="宋体"/>
                <w:b w:val="0"/>
                <w:color w:val="000000"/>
                <w:spacing w:val="0"/>
                <w:sz w:val="21"/>
                <w:szCs w:val="24"/>
              </w:rPr>
            </w:pPr>
            <w:r>
              <w:rPr>
                <w:rFonts w:hint="eastAsia" w:ascii="Times New Roman" w:hAnsi="Times New Roman" w:eastAsia="黑体" w:cs="宋体"/>
                <w:b w:val="0"/>
                <w:color w:val="000000"/>
                <w:spacing w:val="0"/>
                <w:sz w:val="21"/>
                <w:szCs w:val="24"/>
              </w:rPr>
              <w:t>总分</w:t>
            </w:r>
          </w:p>
        </w:tc>
        <w:tc>
          <w:tcPr>
            <w:tcW w:w="863" w:type="dxa"/>
            <w:tcBorders>
              <w:top w:val="single" w:color="auto" w:sz="4" w:space="0"/>
              <w:left w:val="nil"/>
              <w:bottom w:val="single" w:color="auto" w:sz="4" w:space="0"/>
              <w:right w:val="single" w:color="auto" w:sz="4" w:space="0"/>
            </w:tcBorders>
            <w:shd w:val="clear" w:color="auto" w:fill="auto"/>
            <w:vAlign w:val="center"/>
          </w:tcPr>
          <w:p w14:paraId="45BADBB5">
            <w:pPr>
              <w:widowControl/>
              <w:jc w:val="center"/>
              <w:rPr>
                <w:rFonts w:ascii="Times New Roman" w:hAnsi="Times New Roman" w:eastAsia="黑体" w:cs="宋体"/>
                <w:b w:val="0"/>
                <w:color w:val="000000"/>
                <w:spacing w:val="0"/>
                <w:sz w:val="21"/>
                <w:szCs w:val="24"/>
              </w:rPr>
            </w:pPr>
            <w:r>
              <w:rPr>
                <w:rFonts w:hint="eastAsia" w:ascii="Times New Roman" w:hAnsi="Times New Roman" w:eastAsia="黑体" w:cs="宋体"/>
                <w:b w:val="0"/>
                <w:color w:val="000000"/>
                <w:spacing w:val="0"/>
                <w:sz w:val="21"/>
                <w:szCs w:val="24"/>
              </w:rPr>
              <w:t>自评得分项</w:t>
            </w:r>
          </w:p>
        </w:tc>
        <w:tc>
          <w:tcPr>
            <w:tcW w:w="714" w:type="dxa"/>
            <w:tcBorders>
              <w:top w:val="single" w:color="auto" w:sz="4" w:space="0"/>
              <w:left w:val="nil"/>
              <w:bottom w:val="single" w:color="auto" w:sz="4" w:space="0"/>
              <w:right w:val="single" w:color="auto" w:sz="4" w:space="0"/>
            </w:tcBorders>
            <w:shd w:val="clear" w:color="auto" w:fill="auto"/>
            <w:vAlign w:val="center"/>
          </w:tcPr>
          <w:p w14:paraId="1078BE3D">
            <w:pPr>
              <w:widowControl/>
              <w:jc w:val="center"/>
              <w:rPr>
                <w:rFonts w:ascii="Times New Roman" w:hAnsi="Times New Roman" w:eastAsia="黑体" w:cs="宋体"/>
                <w:b w:val="0"/>
                <w:color w:val="000000"/>
                <w:spacing w:val="0"/>
                <w:sz w:val="21"/>
                <w:szCs w:val="24"/>
              </w:rPr>
            </w:pPr>
            <w:r>
              <w:rPr>
                <w:rFonts w:hint="eastAsia" w:ascii="Times New Roman" w:hAnsi="Times New Roman" w:eastAsia="黑体" w:cs="宋体"/>
                <w:b w:val="0"/>
                <w:color w:val="000000"/>
                <w:spacing w:val="0"/>
                <w:sz w:val="21"/>
                <w:szCs w:val="24"/>
              </w:rPr>
              <w:t>自评</w:t>
            </w:r>
          </w:p>
          <w:p w14:paraId="17BF4E4D">
            <w:pPr>
              <w:jc w:val="center"/>
              <w:rPr>
                <w:rFonts w:ascii="Times New Roman" w:hAnsi="Times New Roman" w:eastAsia="黑体" w:cs="宋体"/>
                <w:b w:val="0"/>
                <w:color w:val="000000"/>
                <w:spacing w:val="0"/>
                <w:sz w:val="21"/>
                <w:szCs w:val="24"/>
              </w:rPr>
            </w:pPr>
            <w:r>
              <w:rPr>
                <w:rFonts w:hint="eastAsia" w:ascii="Times New Roman" w:hAnsi="Times New Roman" w:eastAsia="黑体" w:cs="宋体"/>
                <w:b w:val="0"/>
                <w:color w:val="000000"/>
                <w:spacing w:val="0"/>
                <w:sz w:val="21"/>
                <w:szCs w:val="24"/>
              </w:rPr>
              <w:t>得分</w:t>
            </w:r>
          </w:p>
        </w:tc>
        <w:tc>
          <w:tcPr>
            <w:tcW w:w="798" w:type="dxa"/>
            <w:tcBorders>
              <w:top w:val="single" w:color="auto" w:sz="4" w:space="0"/>
              <w:left w:val="nil"/>
              <w:bottom w:val="single" w:color="auto" w:sz="4" w:space="0"/>
              <w:right w:val="single" w:color="auto" w:sz="4" w:space="0"/>
            </w:tcBorders>
            <w:shd w:val="clear" w:color="auto" w:fill="auto"/>
            <w:vAlign w:val="center"/>
          </w:tcPr>
          <w:p w14:paraId="66DCF3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黑体" w:cs="宋体"/>
                <w:b w:val="0"/>
                <w:color w:val="000000"/>
                <w:spacing w:val="0"/>
                <w:sz w:val="21"/>
                <w:szCs w:val="24"/>
              </w:rPr>
            </w:pPr>
            <w:r>
              <w:rPr>
                <w:rFonts w:hint="eastAsia" w:ascii="Times New Roman" w:hAnsi="Times New Roman" w:eastAsia="黑体" w:cs="宋体"/>
                <w:b w:val="0"/>
                <w:color w:val="000000"/>
                <w:spacing w:val="0"/>
                <w:sz w:val="21"/>
                <w:szCs w:val="24"/>
                <w:lang w:eastAsia="zh-CN"/>
              </w:rPr>
              <w:t>复核</w:t>
            </w:r>
            <w:r>
              <w:rPr>
                <w:rFonts w:hint="eastAsia" w:ascii="Times New Roman" w:hAnsi="Times New Roman" w:eastAsia="黑体" w:cs="宋体"/>
                <w:b w:val="0"/>
                <w:color w:val="000000"/>
                <w:spacing w:val="0"/>
                <w:sz w:val="21"/>
                <w:szCs w:val="24"/>
              </w:rPr>
              <w:t>得分项</w:t>
            </w:r>
          </w:p>
        </w:tc>
        <w:tc>
          <w:tcPr>
            <w:tcW w:w="756" w:type="dxa"/>
            <w:tcBorders>
              <w:top w:val="single" w:color="auto" w:sz="4" w:space="0"/>
              <w:left w:val="nil"/>
              <w:bottom w:val="single" w:color="auto" w:sz="4" w:space="0"/>
              <w:right w:val="single" w:color="auto" w:sz="4" w:space="0"/>
            </w:tcBorders>
            <w:shd w:val="clear" w:color="auto" w:fill="auto"/>
            <w:vAlign w:val="center"/>
          </w:tcPr>
          <w:p w14:paraId="6BFFE57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黑体" w:cs="宋体"/>
                <w:b w:val="0"/>
                <w:color w:val="000000"/>
                <w:spacing w:val="0"/>
                <w:sz w:val="21"/>
                <w:szCs w:val="24"/>
              </w:rPr>
            </w:pPr>
            <w:r>
              <w:rPr>
                <w:rFonts w:hint="eastAsia" w:ascii="Times New Roman" w:hAnsi="Times New Roman" w:eastAsia="黑体" w:cs="宋体"/>
                <w:b w:val="0"/>
                <w:color w:val="000000"/>
                <w:spacing w:val="0"/>
                <w:sz w:val="21"/>
                <w:szCs w:val="24"/>
                <w:lang w:eastAsia="zh-CN"/>
              </w:rPr>
              <w:t>复核</w:t>
            </w:r>
            <w:r>
              <w:rPr>
                <w:rFonts w:hint="eastAsia" w:ascii="Times New Roman" w:hAnsi="Times New Roman" w:eastAsia="黑体" w:cs="宋体"/>
                <w:b w:val="0"/>
                <w:color w:val="000000"/>
                <w:spacing w:val="0"/>
                <w:sz w:val="21"/>
                <w:szCs w:val="24"/>
              </w:rPr>
              <w:t>得分</w:t>
            </w:r>
          </w:p>
        </w:tc>
      </w:tr>
      <w:tr w14:paraId="7E5EBC0C">
        <w:tblPrEx>
          <w:tblCellMar>
            <w:top w:w="0" w:type="dxa"/>
            <w:left w:w="108" w:type="dxa"/>
            <w:bottom w:w="0" w:type="dxa"/>
            <w:right w:w="108" w:type="dxa"/>
          </w:tblCellMar>
        </w:tblPrEx>
        <w:trPr>
          <w:trHeight w:val="1456" w:hRule="atLeast"/>
          <w:jc w:val="center"/>
        </w:trPr>
        <w:tc>
          <w:tcPr>
            <w:tcW w:w="739" w:type="dxa"/>
            <w:vMerge w:val="restart"/>
            <w:tcBorders>
              <w:top w:val="nil"/>
              <w:left w:val="single" w:color="auto" w:sz="4" w:space="0"/>
              <w:right w:val="single" w:color="auto" w:sz="4" w:space="0"/>
            </w:tcBorders>
            <w:shd w:val="clear" w:color="auto" w:fill="auto"/>
            <w:vAlign w:val="center"/>
          </w:tcPr>
          <w:p w14:paraId="09689CDE">
            <w:pPr>
              <w:widowControl/>
              <w:spacing w:line="240" w:lineRule="exact"/>
              <w:jc w:val="center"/>
              <w:rPr>
                <w:rFonts w:ascii="Times New Roman" w:hAnsi="Times New Roman" w:eastAsia="楷体_GB2312" w:cs="宋体"/>
                <w:b w:val="0"/>
                <w:color w:val="000000"/>
                <w:spacing w:val="0"/>
                <w:sz w:val="24"/>
                <w:szCs w:val="24"/>
              </w:rPr>
            </w:pPr>
            <w:r>
              <w:rPr>
                <w:rFonts w:hint="eastAsia" w:ascii="Times New Roman" w:hAnsi="Times New Roman" w:eastAsia="楷体_GB2312" w:cs="宋体"/>
                <w:b w:val="0"/>
                <w:color w:val="000000"/>
                <w:spacing w:val="0"/>
                <w:sz w:val="24"/>
                <w:szCs w:val="24"/>
              </w:rPr>
              <w:t>评价项目</w:t>
            </w:r>
          </w:p>
        </w:tc>
        <w:tc>
          <w:tcPr>
            <w:tcW w:w="713" w:type="dxa"/>
            <w:vMerge w:val="restart"/>
            <w:tcBorders>
              <w:top w:val="nil"/>
              <w:left w:val="single" w:color="auto" w:sz="4" w:space="0"/>
              <w:bottom w:val="single" w:color="000000" w:sz="4" w:space="0"/>
              <w:right w:val="single" w:color="auto" w:sz="4" w:space="0"/>
            </w:tcBorders>
            <w:shd w:val="clear" w:color="auto" w:fill="auto"/>
            <w:vAlign w:val="center"/>
          </w:tcPr>
          <w:p w14:paraId="72395EBD">
            <w:pPr>
              <w:widowControl/>
              <w:spacing w:line="240" w:lineRule="exact"/>
              <w:jc w:val="center"/>
              <w:rPr>
                <w:rFonts w:ascii="Times New Roman" w:hAnsi="Times New Roman" w:eastAsia="楷体" w:cs="楷体"/>
                <w:b w:val="0"/>
                <w:color w:val="000000"/>
                <w:spacing w:val="0"/>
                <w:sz w:val="24"/>
                <w:szCs w:val="24"/>
              </w:rPr>
            </w:pPr>
            <w:r>
              <w:rPr>
                <w:rFonts w:hint="eastAsia" w:ascii="Times New Roman" w:hAnsi="Times New Roman" w:eastAsia="楷体" w:cs="楷体"/>
                <w:b w:val="0"/>
                <w:color w:val="000000"/>
                <w:spacing w:val="0"/>
                <w:sz w:val="24"/>
                <w:szCs w:val="24"/>
              </w:rPr>
              <w:t>专业层次</w:t>
            </w:r>
          </w:p>
        </w:tc>
        <w:tc>
          <w:tcPr>
            <w:tcW w:w="5377" w:type="dxa"/>
            <w:tcBorders>
              <w:top w:val="nil"/>
              <w:left w:val="nil"/>
              <w:bottom w:val="single" w:color="auto" w:sz="4" w:space="0"/>
              <w:right w:val="single" w:color="auto" w:sz="4" w:space="0"/>
            </w:tcBorders>
            <w:shd w:val="clear" w:color="auto" w:fill="auto"/>
            <w:vAlign w:val="center"/>
          </w:tcPr>
          <w:p w14:paraId="66365A36">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Theme="minorEastAsia" w:cstheme="minorEastAsia"/>
                <w:b w:val="0"/>
                <w:color w:val="000000"/>
                <w:spacing w:val="-4"/>
                <w:sz w:val="18"/>
                <w:szCs w:val="18"/>
              </w:rPr>
            </w:pPr>
            <w:r>
              <w:rPr>
                <w:rFonts w:hint="eastAsia" w:ascii="Times New Roman" w:hAnsi="Times New Roman" w:eastAsiaTheme="minorEastAsia" w:cstheme="minorEastAsia"/>
                <w:bCs/>
                <w:color w:val="000000"/>
                <w:spacing w:val="-4"/>
                <w:sz w:val="18"/>
                <w:szCs w:val="18"/>
              </w:rPr>
              <w:t>本 科</w:t>
            </w:r>
            <w:r>
              <w:rPr>
                <w:rFonts w:hint="eastAsia" w:ascii="Times New Roman" w:hAnsi="Times New Roman" w:eastAsiaTheme="minorEastAsia" w:cstheme="minorEastAsia"/>
                <w:b w:val="0"/>
                <w:color w:val="000000"/>
                <w:spacing w:val="-4"/>
                <w:sz w:val="18"/>
                <w:szCs w:val="18"/>
              </w:rPr>
              <w:t>：</w:t>
            </w:r>
            <w:r>
              <w:rPr>
                <w:rFonts w:hint="eastAsia" w:ascii="Times New Roman" w:hAnsi="Times New Roman" w:eastAsia="宋体" w:cs="宋体"/>
                <w:b w:val="0"/>
                <w:color w:val="000000"/>
                <w:spacing w:val="-4"/>
                <w:sz w:val="18"/>
                <w:szCs w:val="18"/>
              </w:rPr>
              <w:t>A类3</w:t>
            </w:r>
            <w:r>
              <w:rPr>
                <w:rFonts w:hint="eastAsia" w:ascii="Times New Roman" w:hAnsi="Times New Roman" w:eastAsia="宋体" w:cs="宋体"/>
                <w:b w:val="0"/>
                <w:color w:val="000000"/>
                <w:spacing w:val="-4"/>
                <w:sz w:val="18"/>
                <w:szCs w:val="18"/>
                <w:lang w:val="en-US" w:eastAsia="zh-CN"/>
              </w:rPr>
              <w:t>6</w:t>
            </w:r>
            <w:r>
              <w:rPr>
                <w:rFonts w:hint="eastAsia" w:ascii="Times New Roman" w:hAnsi="Times New Roman" w:eastAsia="宋体" w:cs="宋体"/>
                <w:b w:val="0"/>
                <w:color w:val="000000"/>
                <w:spacing w:val="-4"/>
                <w:sz w:val="18"/>
                <w:szCs w:val="18"/>
              </w:rPr>
              <w:t>所高校且一流学科者得</w:t>
            </w:r>
            <w:r>
              <w:rPr>
                <w:rFonts w:hint="eastAsia" w:ascii="Times New Roman" w:hAnsi="Times New Roman" w:eastAsia="宋体" w:cs="宋体"/>
                <w:b w:val="0"/>
                <w:color w:val="000000"/>
                <w:spacing w:val="-4"/>
                <w:sz w:val="18"/>
                <w:szCs w:val="18"/>
                <w:lang w:val="en-US" w:eastAsia="zh-CN"/>
              </w:rPr>
              <w:t>3</w:t>
            </w:r>
            <w:r>
              <w:rPr>
                <w:rFonts w:hint="eastAsia" w:ascii="Times New Roman" w:hAnsi="Times New Roman" w:cs="宋体"/>
                <w:b w:val="0"/>
                <w:color w:val="000000"/>
                <w:spacing w:val="-4"/>
                <w:sz w:val="18"/>
                <w:szCs w:val="18"/>
                <w:lang w:val="en-US" w:eastAsia="zh-CN"/>
              </w:rPr>
              <w:t>5</w:t>
            </w:r>
            <w:r>
              <w:rPr>
                <w:rFonts w:hint="eastAsia" w:ascii="Times New Roman" w:hAnsi="Times New Roman" w:eastAsia="宋体" w:cs="宋体"/>
                <w:b w:val="0"/>
                <w:color w:val="000000"/>
                <w:spacing w:val="-4"/>
                <w:sz w:val="18"/>
                <w:szCs w:val="18"/>
              </w:rPr>
              <w:t>分；B类6所高校且一流学科者得</w:t>
            </w:r>
            <w:r>
              <w:rPr>
                <w:rFonts w:hint="eastAsia" w:ascii="Times New Roman" w:hAnsi="Times New Roman" w:cs="宋体"/>
                <w:b w:val="0"/>
                <w:color w:val="000000"/>
                <w:spacing w:val="-4"/>
                <w:sz w:val="18"/>
                <w:szCs w:val="18"/>
                <w:lang w:val="en-US" w:eastAsia="zh-CN"/>
              </w:rPr>
              <w:t>33</w:t>
            </w:r>
            <w:r>
              <w:rPr>
                <w:rFonts w:hint="eastAsia" w:ascii="Times New Roman" w:hAnsi="Times New Roman" w:eastAsia="宋体" w:cs="宋体"/>
                <w:b w:val="0"/>
                <w:color w:val="000000"/>
                <w:spacing w:val="-4"/>
                <w:sz w:val="18"/>
                <w:szCs w:val="18"/>
              </w:rPr>
              <w:t>分；A类3</w:t>
            </w:r>
            <w:r>
              <w:rPr>
                <w:rFonts w:hint="eastAsia" w:ascii="Times New Roman" w:hAnsi="Times New Roman" w:eastAsia="宋体" w:cs="宋体"/>
                <w:b w:val="0"/>
                <w:color w:val="000000"/>
                <w:spacing w:val="-4"/>
                <w:sz w:val="18"/>
                <w:szCs w:val="18"/>
                <w:lang w:val="en-US" w:eastAsia="zh-CN"/>
              </w:rPr>
              <w:t>6</w:t>
            </w:r>
            <w:r>
              <w:rPr>
                <w:rFonts w:hint="eastAsia" w:ascii="Times New Roman" w:hAnsi="Times New Roman" w:eastAsia="宋体" w:cs="宋体"/>
                <w:b w:val="0"/>
                <w:color w:val="000000"/>
                <w:spacing w:val="-4"/>
                <w:sz w:val="18"/>
                <w:szCs w:val="18"/>
              </w:rPr>
              <w:t>所高校且非一流学科者得</w:t>
            </w:r>
            <w:r>
              <w:rPr>
                <w:rFonts w:hint="eastAsia" w:ascii="Times New Roman" w:hAnsi="Times New Roman" w:cs="宋体"/>
                <w:b w:val="0"/>
                <w:color w:val="000000"/>
                <w:spacing w:val="-4"/>
                <w:sz w:val="18"/>
                <w:szCs w:val="18"/>
                <w:lang w:val="en-US" w:eastAsia="zh-CN"/>
              </w:rPr>
              <w:t>31</w:t>
            </w:r>
            <w:r>
              <w:rPr>
                <w:rFonts w:hint="eastAsia" w:ascii="Times New Roman" w:hAnsi="Times New Roman" w:eastAsia="宋体" w:cs="宋体"/>
                <w:b w:val="0"/>
                <w:color w:val="000000"/>
                <w:spacing w:val="-4"/>
                <w:sz w:val="18"/>
                <w:szCs w:val="18"/>
              </w:rPr>
              <w:t>分；非A类、B类高校且一流学科者得</w:t>
            </w:r>
            <w:r>
              <w:rPr>
                <w:rFonts w:hint="eastAsia" w:ascii="Times New Roman" w:hAnsi="Times New Roman" w:cs="宋体"/>
                <w:b w:val="0"/>
                <w:color w:val="000000"/>
                <w:spacing w:val="-4"/>
                <w:sz w:val="18"/>
                <w:szCs w:val="18"/>
                <w:lang w:val="en-US" w:eastAsia="zh-CN"/>
              </w:rPr>
              <w:t>31</w:t>
            </w:r>
            <w:r>
              <w:rPr>
                <w:rFonts w:hint="eastAsia" w:ascii="Times New Roman" w:hAnsi="Times New Roman" w:eastAsia="宋体" w:cs="宋体"/>
                <w:b w:val="0"/>
                <w:color w:val="000000"/>
                <w:spacing w:val="-4"/>
                <w:sz w:val="18"/>
                <w:szCs w:val="18"/>
              </w:rPr>
              <w:t>分；B类6所高校且非一流学科者得</w:t>
            </w:r>
            <w:r>
              <w:rPr>
                <w:rFonts w:hint="eastAsia" w:ascii="Times New Roman" w:hAnsi="Times New Roman" w:cs="宋体"/>
                <w:b w:val="0"/>
                <w:color w:val="000000"/>
                <w:spacing w:val="-4"/>
                <w:sz w:val="18"/>
                <w:szCs w:val="18"/>
                <w:lang w:val="en-US" w:eastAsia="zh-CN"/>
              </w:rPr>
              <w:t>29</w:t>
            </w:r>
            <w:r>
              <w:rPr>
                <w:rFonts w:hint="eastAsia" w:ascii="Times New Roman" w:hAnsi="Times New Roman" w:eastAsia="宋体" w:cs="宋体"/>
                <w:b w:val="0"/>
                <w:color w:val="000000"/>
                <w:spacing w:val="-4"/>
                <w:sz w:val="18"/>
                <w:szCs w:val="18"/>
              </w:rPr>
              <w:t>分；非A类、B类高校且</w:t>
            </w:r>
            <w:r>
              <w:rPr>
                <w:rFonts w:hint="eastAsia" w:ascii="Times New Roman" w:hAnsi="Times New Roman" w:eastAsia="宋体" w:cs="宋体"/>
                <w:b w:val="0"/>
                <w:color w:val="000000"/>
                <w:spacing w:val="-4"/>
                <w:sz w:val="18"/>
                <w:szCs w:val="18"/>
                <w:lang w:eastAsia="zh-CN"/>
              </w:rPr>
              <w:t>非</w:t>
            </w:r>
            <w:r>
              <w:rPr>
                <w:rFonts w:hint="eastAsia" w:ascii="Times New Roman" w:hAnsi="Times New Roman" w:eastAsia="宋体" w:cs="宋体"/>
                <w:b w:val="0"/>
                <w:color w:val="000000"/>
                <w:spacing w:val="-4"/>
                <w:sz w:val="18"/>
                <w:szCs w:val="18"/>
              </w:rPr>
              <w:t>一流学科者得</w:t>
            </w:r>
            <w:r>
              <w:rPr>
                <w:rFonts w:hint="eastAsia" w:ascii="Times New Roman" w:hAnsi="Times New Roman" w:cs="宋体"/>
                <w:b w:val="0"/>
                <w:color w:val="000000"/>
                <w:spacing w:val="-4"/>
                <w:sz w:val="18"/>
                <w:szCs w:val="18"/>
                <w:lang w:val="en-US" w:eastAsia="zh-CN"/>
              </w:rPr>
              <w:t>12</w:t>
            </w:r>
            <w:r>
              <w:rPr>
                <w:rFonts w:hint="eastAsia" w:ascii="Times New Roman" w:hAnsi="Times New Roman" w:eastAsia="宋体" w:cs="宋体"/>
                <w:b w:val="0"/>
                <w:color w:val="000000"/>
                <w:spacing w:val="-4"/>
                <w:sz w:val="18"/>
                <w:szCs w:val="18"/>
              </w:rPr>
              <w:t>分</w:t>
            </w:r>
            <w:r>
              <w:rPr>
                <w:rFonts w:hint="eastAsia" w:ascii="Times New Roman" w:hAnsi="Times New Roman" w:cs="宋体"/>
                <w:b w:val="0"/>
                <w:color w:val="000000"/>
                <w:spacing w:val="-4"/>
                <w:sz w:val="18"/>
                <w:szCs w:val="18"/>
                <w:lang w:val="en-US" w:eastAsia="zh-CN"/>
              </w:rPr>
              <w:t>。</w:t>
            </w:r>
          </w:p>
        </w:tc>
        <w:tc>
          <w:tcPr>
            <w:tcW w:w="640" w:type="dxa"/>
            <w:tcBorders>
              <w:top w:val="nil"/>
              <w:left w:val="nil"/>
              <w:bottom w:val="single" w:color="auto" w:sz="4" w:space="0"/>
              <w:right w:val="single" w:color="auto" w:sz="4" w:space="0"/>
            </w:tcBorders>
            <w:shd w:val="clear" w:color="auto" w:fill="auto"/>
            <w:vAlign w:val="center"/>
          </w:tcPr>
          <w:p w14:paraId="529181C1">
            <w:pPr>
              <w:widowControl/>
              <w:spacing w:line="240" w:lineRule="exact"/>
              <w:jc w:val="center"/>
              <w:rPr>
                <w:rFonts w:hint="eastAsia" w:ascii="Times New Roman" w:hAnsi="Times New Roman" w:eastAsia="宋体" w:cs="宋体"/>
                <w:b w:val="0"/>
                <w:color w:val="000000"/>
                <w:spacing w:val="0"/>
                <w:sz w:val="24"/>
                <w:szCs w:val="24"/>
                <w:lang w:val="en-US" w:eastAsia="zh-CN"/>
              </w:rPr>
            </w:pPr>
            <w:r>
              <w:rPr>
                <w:rFonts w:hint="eastAsia" w:ascii="Times New Roman" w:hAnsi="Times New Roman" w:cs="宋体"/>
                <w:b w:val="0"/>
                <w:color w:val="000000"/>
                <w:spacing w:val="0"/>
                <w:sz w:val="24"/>
                <w:szCs w:val="24"/>
              </w:rPr>
              <w:t>3</w:t>
            </w:r>
            <w:r>
              <w:rPr>
                <w:rFonts w:hint="eastAsia" w:ascii="Times New Roman" w:hAnsi="Times New Roman" w:cs="宋体"/>
                <w:b w:val="0"/>
                <w:color w:val="000000"/>
                <w:spacing w:val="0"/>
                <w:sz w:val="24"/>
                <w:szCs w:val="24"/>
                <w:lang w:val="en-US" w:eastAsia="zh-CN"/>
              </w:rPr>
              <w:t>5</w:t>
            </w:r>
          </w:p>
        </w:tc>
        <w:tc>
          <w:tcPr>
            <w:tcW w:w="863" w:type="dxa"/>
            <w:tcBorders>
              <w:top w:val="nil"/>
              <w:left w:val="nil"/>
              <w:bottom w:val="single" w:color="auto" w:sz="4" w:space="0"/>
              <w:right w:val="single" w:color="auto" w:sz="4" w:space="0"/>
            </w:tcBorders>
            <w:shd w:val="clear" w:color="auto" w:fill="auto"/>
            <w:vAlign w:val="center"/>
          </w:tcPr>
          <w:p w14:paraId="0EF728E2">
            <w:pPr>
              <w:widowControl/>
              <w:spacing w:line="240" w:lineRule="exact"/>
              <w:jc w:val="center"/>
              <w:rPr>
                <w:rFonts w:ascii="Times New Roman" w:hAnsi="Times New Roman" w:cs="宋体"/>
                <w:b w:val="0"/>
                <w:color w:val="FF0000"/>
                <w:spacing w:val="0"/>
                <w:sz w:val="21"/>
                <w:szCs w:val="21"/>
              </w:rPr>
            </w:pPr>
          </w:p>
        </w:tc>
        <w:tc>
          <w:tcPr>
            <w:tcW w:w="714" w:type="dxa"/>
            <w:tcBorders>
              <w:top w:val="nil"/>
              <w:left w:val="nil"/>
              <w:bottom w:val="single" w:color="auto" w:sz="4" w:space="0"/>
              <w:right w:val="single" w:color="auto" w:sz="4" w:space="0"/>
            </w:tcBorders>
            <w:shd w:val="clear" w:color="auto" w:fill="auto"/>
            <w:vAlign w:val="center"/>
          </w:tcPr>
          <w:p w14:paraId="1000260B">
            <w:pPr>
              <w:widowControl/>
              <w:spacing w:line="240" w:lineRule="exact"/>
              <w:jc w:val="center"/>
              <w:rPr>
                <w:rFonts w:ascii="Times New Roman" w:hAnsi="Times New Roman" w:cs="宋体"/>
                <w:b w:val="0"/>
                <w:color w:val="FF0000"/>
                <w:spacing w:val="0"/>
                <w:sz w:val="21"/>
                <w:szCs w:val="21"/>
              </w:rPr>
            </w:pPr>
          </w:p>
        </w:tc>
        <w:tc>
          <w:tcPr>
            <w:tcW w:w="798" w:type="dxa"/>
            <w:tcBorders>
              <w:top w:val="nil"/>
              <w:left w:val="nil"/>
              <w:bottom w:val="single" w:color="auto" w:sz="4" w:space="0"/>
              <w:right w:val="single" w:color="auto" w:sz="4" w:space="0"/>
            </w:tcBorders>
            <w:shd w:val="clear" w:color="auto" w:fill="auto"/>
            <w:vAlign w:val="center"/>
          </w:tcPr>
          <w:p w14:paraId="11C03A7B">
            <w:pPr>
              <w:widowControl/>
              <w:spacing w:line="240" w:lineRule="exact"/>
              <w:jc w:val="center"/>
              <w:rPr>
                <w:rFonts w:ascii="Times New Roman" w:hAnsi="Times New Roman" w:cs="宋体"/>
                <w:b w:val="0"/>
                <w:color w:val="FF0000"/>
                <w:spacing w:val="0"/>
                <w:sz w:val="21"/>
                <w:szCs w:val="21"/>
              </w:rPr>
            </w:pPr>
          </w:p>
        </w:tc>
        <w:tc>
          <w:tcPr>
            <w:tcW w:w="756" w:type="dxa"/>
            <w:tcBorders>
              <w:top w:val="nil"/>
              <w:left w:val="nil"/>
              <w:bottom w:val="single" w:color="auto" w:sz="4" w:space="0"/>
              <w:right w:val="single" w:color="auto" w:sz="4" w:space="0"/>
            </w:tcBorders>
            <w:shd w:val="clear" w:color="auto" w:fill="auto"/>
            <w:vAlign w:val="center"/>
          </w:tcPr>
          <w:p w14:paraId="7EF74F8D">
            <w:pPr>
              <w:widowControl/>
              <w:spacing w:line="240" w:lineRule="exact"/>
              <w:jc w:val="center"/>
              <w:rPr>
                <w:rFonts w:ascii="Times New Roman" w:hAnsi="Times New Roman" w:cs="宋体"/>
                <w:b w:val="0"/>
                <w:color w:val="FF0000"/>
                <w:spacing w:val="0"/>
                <w:sz w:val="21"/>
                <w:szCs w:val="21"/>
              </w:rPr>
            </w:pPr>
          </w:p>
        </w:tc>
      </w:tr>
      <w:tr w14:paraId="34B92549">
        <w:tblPrEx>
          <w:tblCellMar>
            <w:top w:w="0" w:type="dxa"/>
            <w:left w:w="108" w:type="dxa"/>
            <w:bottom w:w="0" w:type="dxa"/>
            <w:right w:w="108" w:type="dxa"/>
          </w:tblCellMar>
        </w:tblPrEx>
        <w:trPr>
          <w:trHeight w:val="2693" w:hRule="atLeast"/>
          <w:jc w:val="center"/>
        </w:trPr>
        <w:tc>
          <w:tcPr>
            <w:tcW w:w="739" w:type="dxa"/>
            <w:vMerge w:val="continue"/>
            <w:tcBorders>
              <w:left w:val="single" w:color="auto" w:sz="4" w:space="0"/>
              <w:right w:val="single" w:color="auto" w:sz="4" w:space="0"/>
            </w:tcBorders>
            <w:vAlign w:val="center"/>
          </w:tcPr>
          <w:p w14:paraId="3CA11AB9">
            <w:pPr>
              <w:widowControl/>
              <w:spacing w:line="240" w:lineRule="exact"/>
              <w:jc w:val="center"/>
              <w:rPr>
                <w:rFonts w:ascii="Times New Roman" w:hAnsi="Times New Roman" w:eastAsia="楷体_GB2312" w:cs="宋体"/>
                <w:b w:val="0"/>
                <w:color w:val="000000"/>
                <w:spacing w:val="0"/>
                <w:sz w:val="24"/>
                <w:szCs w:val="24"/>
              </w:rPr>
            </w:pPr>
          </w:p>
        </w:tc>
        <w:tc>
          <w:tcPr>
            <w:tcW w:w="713" w:type="dxa"/>
            <w:vMerge w:val="continue"/>
            <w:tcBorders>
              <w:top w:val="nil"/>
              <w:left w:val="single" w:color="auto" w:sz="4" w:space="0"/>
              <w:bottom w:val="single" w:color="000000" w:sz="4" w:space="0"/>
              <w:right w:val="single" w:color="auto" w:sz="4" w:space="0"/>
            </w:tcBorders>
            <w:vAlign w:val="center"/>
          </w:tcPr>
          <w:p w14:paraId="6ED4250A">
            <w:pPr>
              <w:widowControl/>
              <w:spacing w:line="240" w:lineRule="exact"/>
              <w:jc w:val="center"/>
              <w:rPr>
                <w:rFonts w:ascii="Times New Roman" w:hAnsi="Times New Roman" w:eastAsia="楷体" w:cs="楷体"/>
                <w:b w:val="0"/>
                <w:color w:val="000000"/>
                <w:spacing w:val="0"/>
                <w:sz w:val="24"/>
                <w:szCs w:val="24"/>
              </w:rPr>
            </w:pPr>
          </w:p>
        </w:tc>
        <w:tc>
          <w:tcPr>
            <w:tcW w:w="5377" w:type="dxa"/>
            <w:tcBorders>
              <w:top w:val="nil"/>
              <w:left w:val="nil"/>
              <w:bottom w:val="single" w:color="auto" w:sz="4" w:space="0"/>
              <w:right w:val="single" w:color="auto" w:sz="4" w:space="0"/>
            </w:tcBorders>
            <w:shd w:val="clear" w:color="auto" w:fill="auto"/>
            <w:vAlign w:val="center"/>
          </w:tcPr>
          <w:p w14:paraId="2F7C4835">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Theme="minorEastAsia" w:cstheme="minorEastAsia"/>
                <w:b w:val="0"/>
                <w:color w:val="000000"/>
                <w:spacing w:val="-4"/>
                <w:sz w:val="18"/>
                <w:szCs w:val="18"/>
              </w:rPr>
            </w:pPr>
            <w:r>
              <w:rPr>
                <w:rFonts w:hint="eastAsia" w:ascii="Times New Roman" w:hAnsi="Times New Roman" w:eastAsiaTheme="minorEastAsia" w:cstheme="minorEastAsia"/>
                <w:bCs/>
                <w:color w:val="000000"/>
                <w:spacing w:val="-4"/>
                <w:sz w:val="18"/>
                <w:szCs w:val="18"/>
                <w:lang w:eastAsia="zh-CN"/>
              </w:rPr>
              <w:t>硕士</w:t>
            </w:r>
            <w:r>
              <w:rPr>
                <w:rFonts w:hint="eastAsia" w:ascii="Times New Roman" w:hAnsi="Times New Roman" w:eastAsiaTheme="minorEastAsia" w:cstheme="minorEastAsia"/>
                <w:bCs/>
                <w:color w:val="000000"/>
                <w:spacing w:val="-4"/>
                <w:sz w:val="18"/>
                <w:szCs w:val="18"/>
              </w:rPr>
              <w:t>研究生</w:t>
            </w:r>
            <w:r>
              <w:rPr>
                <w:rFonts w:hint="eastAsia" w:ascii="Times New Roman" w:hAnsi="Times New Roman" w:eastAsiaTheme="minorEastAsia" w:cstheme="minorEastAsia"/>
                <w:b w:val="0"/>
                <w:color w:val="000000"/>
                <w:spacing w:val="-4"/>
                <w:sz w:val="18"/>
                <w:szCs w:val="18"/>
              </w:rPr>
              <w:t>：</w:t>
            </w:r>
          </w:p>
          <w:p w14:paraId="5497B2A5">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Theme="minorEastAsia" w:cstheme="minorEastAsia"/>
                <w:b w:val="0"/>
                <w:color w:val="000000"/>
                <w:spacing w:val="-4"/>
                <w:sz w:val="18"/>
                <w:szCs w:val="18"/>
              </w:rPr>
            </w:pPr>
            <w:r>
              <w:rPr>
                <w:rFonts w:hint="eastAsia" w:ascii="Times New Roman" w:hAnsi="Times New Roman" w:eastAsiaTheme="minorEastAsia" w:cstheme="minorEastAsia"/>
                <w:color w:val="000000"/>
                <w:spacing w:val="-4"/>
                <w:sz w:val="18"/>
                <w:szCs w:val="18"/>
              </w:rPr>
              <w:t>国 内</w:t>
            </w:r>
            <w:r>
              <w:rPr>
                <w:rFonts w:hint="eastAsia" w:ascii="Times New Roman" w:hAnsi="Times New Roman" w:eastAsiaTheme="minorEastAsia" w:cstheme="minorEastAsia"/>
                <w:b w:val="0"/>
                <w:color w:val="000000"/>
                <w:spacing w:val="-4"/>
                <w:sz w:val="18"/>
                <w:szCs w:val="18"/>
              </w:rPr>
              <w:t>：</w:t>
            </w:r>
            <w:r>
              <w:rPr>
                <w:rFonts w:hint="eastAsia" w:ascii="Times New Roman" w:hAnsi="Times New Roman" w:eastAsia="宋体" w:cs="宋体"/>
                <w:b w:val="0"/>
                <w:color w:val="000000"/>
                <w:spacing w:val="-4"/>
                <w:sz w:val="18"/>
                <w:szCs w:val="18"/>
              </w:rPr>
              <w:t>A类3</w:t>
            </w:r>
            <w:r>
              <w:rPr>
                <w:rFonts w:hint="eastAsia" w:ascii="Times New Roman" w:hAnsi="Times New Roman" w:eastAsia="宋体" w:cs="宋体"/>
                <w:b w:val="0"/>
                <w:color w:val="000000"/>
                <w:spacing w:val="-4"/>
                <w:sz w:val="18"/>
                <w:szCs w:val="18"/>
                <w:lang w:val="en-US" w:eastAsia="zh-CN"/>
              </w:rPr>
              <w:t>6</w:t>
            </w:r>
            <w:r>
              <w:rPr>
                <w:rFonts w:hint="eastAsia" w:ascii="Times New Roman" w:hAnsi="Times New Roman" w:eastAsia="宋体" w:cs="宋体"/>
                <w:b w:val="0"/>
                <w:color w:val="000000"/>
                <w:spacing w:val="-4"/>
                <w:sz w:val="18"/>
                <w:szCs w:val="18"/>
              </w:rPr>
              <w:t>所高校且一流学科者得</w:t>
            </w:r>
            <w:r>
              <w:rPr>
                <w:rFonts w:hint="eastAsia" w:ascii="Times New Roman" w:hAnsi="Times New Roman" w:cs="宋体"/>
                <w:b w:val="0"/>
                <w:color w:val="000000"/>
                <w:spacing w:val="-4"/>
                <w:sz w:val="18"/>
                <w:szCs w:val="18"/>
                <w:lang w:val="en-US" w:eastAsia="zh-CN"/>
              </w:rPr>
              <w:t>30</w:t>
            </w:r>
            <w:r>
              <w:rPr>
                <w:rFonts w:hint="eastAsia" w:ascii="Times New Roman" w:hAnsi="Times New Roman" w:eastAsia="宋体" w:cs="宋体"/>
                <w:b w:val="0"/>
                <w:color w:val="000000"/>
                <w:spacing w:val="-4"/>
                <w:sz w:val="18"/>
                <w:szCs w:val="18"/>
              </w:rPr>
              <w:t>分；B类6所高校且一流学科者得</w:t>
            </w:r>
            <w:r>
              <w:rPr>
                <w:rFonts w:hint="eastAsia" w:ascii="Times New Roman" w:hAnsi="Times New Roman" w:cs="宋体"/>
                <w:b w:val="0"/>
                <w:color w:val="000000"/>
                <w:spacing w:val="-4"/>
                <w:sz w:val="18"/>
                <w:szCs w:val="18"/>
                <w:lang w:val="en-US" w:eastAsia="zh-CN"/>
              </w:rPr>
              <w:t>28</w:t>
            </w:r>
            <w:r>
              <w:rPr>
                <w:rFonts w:hint="eastAsia" w:ascii="Times New Roman" w:hAnsi="Times New Roman" w:eastAsia="宋体" w:cs="宋体"/>
                <w:b w:val="0"/>
                <w:color w:val="000000"/>
                <w:spacing w:val="-4"/>
                <w:sz w:val="18"/>
                <w:szCs w:val="18"/>
              </w:rPr>
              <w:t>分；A类3</w:t>
            </w:r>
            <w:r>
              <w:rPr>
                <w:rFonts w:hint="eastAsia" w:ascii="Times New Roman" w:hAnsi="Times New Roman" w:eastAsia="宋体" w:cs="宋体"/>
                <w:b w:val="0"/>
                <w:color w:val="000000"/>
                <w:spacing w:val="-4"/>
                <w:sz w:val="18"/>
                <w:szCs w:val="18"/>
                <w:lang w:val="en-US" w:eastAsia="zh-CN"/>
              </w:rPr>
              <w:t>6</w:t>
            </w:r>
            <w:r>
              <w:rPr>
                <w:rFonts w:hint="eastAsia" w:ascii="Times New Roman" w:hAnsi="Times New Roman" w:eastAsia="宋体" w:cs="宋体"/>
                <w:b w:val="0"/>
                <w:color w:val="000000"/>
                <w:spacing w:val="-4"/>
                <w:sz w:val="18"/>
                <w:szCs w:val="18"/>
              </w:rPr>
              <w:t>所高校且非一流学科者得</w:t>
            </w:r>
            <w:r>
              <w:rPr>
                <w:rFonts w:hint="eastAsia" w:ascii="Times New Roman" w:hAnsi="Times New Roman" w:cs="宋体"/>
                <w:b w:val="0"/>
                <w:color w:val="000000"/>
                <w:spacing w:val="-4"/>
                <w:sz w:val="18"/>
                <w:szCs w:val="18"/>
                <w:lang w:val="en-US" w:eastAsia="zh-CN"/>
              </w:rPr>
              <w:t>26</w:t>
            </w:r>
            <w:r>
              <w:rPr>
                <w:rFonts w:hint="eastAsia" w:ascii="Times New Roman" w:hAnsi="Times New Roman" w:eastAsia="宋体" w:cs="宋体"/>
                <w:b w:val="0"/>
                <w:color w:val="000000"/>
                <w:spacing w:val="-4"/>
                <w:sz w:val="18"/>
                <w:szCs w:val="18"/>
              </w:rPr>
              <w:t>分；非A类、B类高校且一流学科者得</w:t>
            </w:r>
            <w:r>
              <w:rPr>
                <w:rFonts w:hint="eastAsia" w:ascii="Times New Roman" w:hAnsi="Times New Roman" w:cs="宋体"/>
                <w:b w:val="0"/>
                <w:color w:val="000000"/>
                <w:spacing w:val="-4"/>
                <w:sz w:val="18"/>
                <w:szCs w:val="18"/>
                <w:lang w:val="en-US" w:eastAsia="zh-CN"/>
              </w:rPr>
              <w:t>26</w:t>
            </w:r>
            <w:r>
              <w:rPr>
                <w:rFonts w:hint="eastAsia" w:ascii="Times New Roman" w:hAnsi="Times New Roman" w:eastAsia="宋体" w:cs="宋体"/>
                <w:b w:val="0"/>
                <w:color w:val="000000"/>
                <w:spacing w:val="-4"/>
                <w:sz w:val="18"/>
                <w:szCs w:val="18"/>
              </w:rPr>
              <w:t>分；B类6所高校且非一流学科者得</w:t>
            </w:r>
            <w:r>
              <w:rPr>
                <w:rFonts w:hint="eastAsia" w:ascii="Times New Roman" w:hAnsi="Times New Roman" w:cs="宋体"/>
                <w:b w:val="0"/>
                <w:color w:val="000000"/>
                <w:spacing w:val="-4"/>
                <w:sz w:val="18"/>
                <w:szCs w:val="18"/>
                <w:lang w:val="en-US" w:eastAsia="zh-CN"/>
              </w:rPr>
              <w:t>24</w:t>
            </w:r>
            <w:r>
              <w:rPr>
                <w:rFonts w:hint="eastAsia" w:ascii="Times New Roman" w:hAnsi="Times New Roman" w:eastAsia="宋体" w:cs="宋体"/>
                <w:b w:val="0"/>
                <w:color w:val="000000"/>
                <w:spacing w:val="-4"/>
                <w:sz w:val="18"/>
                <w:szCs w:val="18"/>
              </w:rPr>
              <w:t>分；非A类、B类高校且</w:t>
            </w:r>
            <w:r>
              <w:rPr>
                <w:rFonts w:hint="eastAsia" w:ascii="Times New Roman" w:hAnsi="Times New Roman" w:eastAsia="宋体" w:cs="宋体"/>
                <w:b w:val="0"/>
                <w:color w:val="000000"/>
                <w:spacing w:val="-4"/>
                <w:sz w:val="18"/>
                <w:szCs w:val="18"/>
                <w:lang w:eastAsia="zh-CN"/>
              </w:rPr>
              <w:t>非</w:t>
            </w:r>
            <w:r>
              <w:rPr>
                <w:rFonts w:hint="eastAsia" w:ascii="Times New Roman" w:hAnsi="Times New Roman" w:eastAsia="宋体" w:cs="宋体"/>
                <w:b w:val="0"/>
                <w:color w:val="000000"/>
                <w:spacing w:val="-4"/>
                <w:sz w:val="18"/>
                <w:szCs w:val="18"/>
              </w:rPr>
              <w:t>一流学科者得</w:t>
            </w:r>
            <w:r>
              <w:rPr>
                <w:rFonts w:hint="eastAsia" w:ascii="Times New Roman" w:hAnsi="Times New Roman" w:cs="宋体"/>
                <w:b w:val="0"/>
                <w:color w:val="000000"/>
                <w:spacing w:val="-4"/>
                <w:sz w:val="18"/>
                <w:szCs w:val="18"/>
                <w:lang w:val="en-US" w:eastAsia="zh-CN"/>
              </w:rPr>
              <w:t>16</w:t>
            </w:r>
            <w:r>
              <w:rPr>
                <w:rFonts w:hint="eastAsia" w:ascii="Times New Roman" w:hAnsi="Times New Roman" w:eastAsia="宋体" w:cs="宋体"/>
                <w:b w:val="0"/>
                <w:color w:val="000000"/>
                <w:spacing w:val="-4"/>
                <w:sz w:val="18"/>
                <w:szCs w:val="18"/>
              </w:rPr>
              <w:t>分</w:t>
            </w:r>
            <w:r>
              <w:rPr>
                <w:rFonts w:hint="eastAsia" w:ascii="Times New Roman" w:hAnsi="Times New Roman" w:cs="宋体"/>
                <w:b w:val="0"/>
                <w:color w:val="000000"/>
                <w:spacing w:val="-4"/>
                <w:sz w:val="18"/>
                <w:szCs w:val="18"/>
                <w:lang w:val="en-US" w:eastAsia="zh-CN"/>
              </w:rPr>
              <w:t>。</w:t>
            </w:r>
          </w:p>
          <w:p w14:paraId="6F872BFD">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Theme="minorEastAsia" w:cstheme="minorEastAsia"/>
                <w:b w:val="0"/>
                <w:color w:val="000000"/>
                <w:spacing w:val="-4"/>
                <w:sz w:val="18"/>
                <w:szCs w:val="18"/>
              </w:rPr>
            </w:pPr>
            <w:r>
              <w:rPr>
                <w:rFonts w:hint="eastAsia" w:ascii="Times New Roman" w:hAnsi="Times New Roman" w:eastAsiaTheme="minorEastAsia" w:cstheme="minorEastAsia"/>
                <w:color w:val="000000"/>
                <w:spacing w:val="-4"/>
                <w:sz w:val="18"/>
                <w:szCs w:val="18"/>
              </w:rPr>
              <w:t>海 外</w:t>
            </w:r>
            <w:r>
              <w:rPr>
                <w:rFonts w:hint="eastAsia" w:ascii="Times New Roman" w:hAnsi="Times New Roman" w:eastAsiaTheme="minorEastAsia" w:cstheme="minorEastAsia"/>
                <w:b w:val="0"/>
                <w:color w:val="000000"/>
                <w:spacing w:val="-4"/>
                <w:sz w:val="18"/>
                <w:szCs w:val="18"/>
              </w:rPr>
              <w:t>：</w:t>
            </w:r>
          </w:p>
          <w:p w14:paraId="16EF9B9D">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Theme="minorEastAsia" w:cstheme="minorEastAsia"/>
                <w:b w:val="0"/>
                <w:color w:val="000000"/>
                <w:spacing w:val="-4"/>
                <w:sz w:val="18"/>
                <w:szCs w:val="18"/>
              </w:rPr>
            </w:pPr>
            <w:r>
              <w:rPr>
                <w:rFonts w:hint="eastAsia" w:ascii="Times New Roman" w:hAnsi="Times New Roman" w:eastAsia="宋体" w:cs="宋体"/>
                <w:b w:val="0"/>
                <w:color w:val="000000"/>
                <w:spacing w:val="-4"/>
                <w:sz w:val="18"/>
                <w:szCs w:val="18"/>
              </w:rPr>
              <w:t>世界综合排名高校1-10名的，得30分；世界综合排名高校11-50名的，得28分；世界综合排名高校51-100名的</w:t>
            </w:r>
            <w:r>
              <w:rPr>
                <w:rFonts w:hint="eastAsia" w:ascii="Times New Roman" w:hAnsi="Times New Roman" w:eastAsia="宋体" w:cs="宋体"/>
                <w:b w:val="0"/>
                <w:color w:val="000000"/>
                <w:spacing w:val="-4"/>
                <w:sz w:val="18"/>
                <w:szCs w:val="18"/>
                <w:lang w:val="en-US" w:eastAsia="zh-CN"/>
              </w:rPr>
              <w:t>,</w:t>
            </w:r>
            <w:r>
              <w:rPr>
                <w:rFonts w:hint="eastAsia" w:ascii="Times New Roman" w:hAnsi="Times New Roman" w:eastAsia="宋体" w:cs="宋体"/>
                <w:b w:val="0"/>
                <w:color w:val="000000"/>
                <w:spacing w:val="-4"/>
                <w:sz w:val="18"/>
                <w:szCs w:val="18"/>
              </w:rPr>
              <w:t>得</w:t>
            </w:r>
            <w:r>
              <w:rPr>
                <w:rFonts w:hint="eastAsia" w:ascii="Times New Roman" w:hAnsi="Times New Roman" w:eastAsia="宋体" w:cs="宋体"/>
                <w:b w:val="0"/>
                <w:color w:val="000000"/>
                <w:spacing w:val="-4"/>
                <w:sz w:val="18"/>
                <w:szCs w:val="18"/>
                <w:lang w:val="en-US" w:eastAsia="zh-CN"/>
              </w:rPr>
              <w:t>26</w:t>
            </w:r>
            <w:r>
              <w:rPr>
                <w:rFonts w:hint="eastAsia" w:ascii="Times New Roman" w:hAnsi="Times New Roman" w:eastAsia="宋体" w:cs="宋体"/>
                <w:b w:val="0"/>
                <w:color w:val="000000"/>
                <w:spacing w:val="-4"/>
                <w:sz w:val="18"/>
                <w:szCs w:val="18"/>
              </w:rPr>
              <w:t>分；世界综合排名高校101-200名的，得</w:t>
            </w:r>
            <w:r>
              <w:rPr>
                <w:rFonts w:hint="eastAsia" w:ascii="Times New Roman" w:hAnsi="Times New Roman" w:eastAsia="宋体" w:cs="宋体"/>
                <w:b w:val="0"/>
                <w:color w:val="000000"/>
                <w:spacing w:val="-4"/>
                <w:sz w:val="18"/>
                <w:szCs w:val="18"/>
                <w:lang w:val="en-US" w:eastAsia="zh-CN"/>
              </w:rPr>
              <w:t>24</w:t>
            </w:r>
            <w:r>
              <w:rPr>
                <w:rFonts w:hint="eastAsia" w:ascii="Times New Roman" w:hAnsi="Times New Roman" w:eastAsia="宋体" w:cs="宋体"/>
                <w:b w:val="0"/>
                <w:color w:val="000000"/>
                <w:spacing w:val="-4"/>
                <w:sz w:val="18"/>
                <w:szCs w:val="18"/>
              </w:rPr>
              <w:t>分；世界综合排名高校201-</w:t>
            </w:r>
            <w:r>
              <w:rPr>
                <w:rFonts w:hint="eastAsia" w:ascii="Times New Roman" w:hAnsi="Times New Roman" w:eastAsia="宋体" w:cs="宋体"/>
                <w:b w:val="0"/>
                <w:color w:val="000000"/>
                <w:spacing w:val="-4"/>
                <w:sz w:val="18"/>
                <w:szCs w:val="18"/>
                <w:lang w:val="en-US" w:eastAsia="zh-CN"/>
              </w:rPr>
              <w:t>3</w:t>
            </w:r>
            <w:r>
              <w:rPr>
                <w:rFonts w:hint="eastAsia" w:ascii="Times New Roman" w:hAnsi="Times New Roman" w:eastAsia="宋体" w:cs="宋体"/>
                <w:b w:val="0"/>
                <w:color w:val="000000"/>
                <w:spacing w:val="-4"/>
                <w:sz w:val="18"/>
                <w:szCs w:val="18"/>
              </w:rPr>
              <w:t>00名的，得</w:t>
            </w:r>
            <w:r>
              <w:rPr>
                <w:rFonts w:hint="eastAsia" w:ascii="Times New Roman" w:hAnsi="Times New Roman" w:eastAsia="宋体" w:cs="宋体"/>
                <w:b w:val="0"/>
                <w:color w:val="000000"/>
                <w:spacing w:val="-4"/>
                <w:sz w:val="18"/>
                <w:szCs w:val="18"/>
                <w:lang w:val="en-US" w:eastAsia="zh-CN"/>
              </w:rPr>
              <w:t>22</w:t>
            </w:r>
            <w:r>
              <w:rPr>
                <w:rFonts w:hint="eastAsia" w:ascii="Times New Roman" w:hAnsi="Times New Roman" w:eastAsia="宋体" w:cs="宋体"/>
                <w:b w:val="0"/>
                <w:color w:val="000000"/>
                <w:spacing w:val="-4"/>
                <w:sz w:val="18"/>
                <w:szCs w:val="18"/>
              </w:rPr>
              <w:t>分。</w:t>
            </w:r>
          </w:p>
        </w:tc>
        <w:tc>
          <w:tcPr>
            <w:tcW w:w="640" w:type="dxa"/>
            <w:tcBorders>
              <w:top w:val="nil"/>
              <w:left w:val="nil"/>
              <w:bottom w:val="single" w:color="auto" w:sz="4" w:space="0"/>
              <w:right w:val="single" w:color="auto" w:sz="4" w:space="0"/>
            </w:tcBorders>
            <w:shd w:val="clear" w:color="auto" w:fill="auto"/>
            <w:vAlign w:val="center"/>
          </w:tcPr>
          <w:p w14:paraId="2FFC498C">
            <w:pPr>
              <w:widowControl/>
              <w:spacing w:line="240" w:lineRule="exact"/>
              <w:jc w:val="center"/>
              <w:rPr>
                <w:rFonts w:ascii="Times New Roman" w:hAnsi="Times New Roman" w:cs="宋体"/>
                <w:b w:val="0"/>
                <w:color w:val="000000"/>
                <w:spacing w:val="0"/>
                <w:sz w:val="24"/>
                <w:szCs w:val="24"/>
              </w:rPr>
            </w:pPr>
            <w:r>
              <w:rPr>
                <w:rFonts w:hint="eastAsia" w:ascii="Times New Roman" w:hAnsi="Times New Roman" w:cs="宋体"/>
                <w:b w:val="0"/>
                <w:color w:val="000000"/>
                <w:spacing w:val="0"/>
                <w:sz w:val="24"/>
                <w:szCs w:val="24"/>
              </w:rPr>
              <w:t>30</w:t>
            </w:r>
          </w:p>
        </w:tc>
        <w:tc>
          <w:tcPr>
            <w:tcW w:w="863" w:type="dxa"/>
            <w:tcBorders>
              <w:top w:val="nil"/>
              <w:left w:val="nil"/>
              <w:bottom w:val="single" w:color="auto" w:sz="4" w:space="0"/>
              <w:right w:val="single" w:color="auto" w:sz="4" w:space="0"/>
            </w:tcBorders>
            <w:shd w:val="clear" w:color="auto" w:fill="auto"/>
            <w:vAlign w:val="center"/>
          </w:tcPr>
          <w:p w14:paraId="2490C255">
            <w:pPr>
              <w:widowControl/>
              <w:spacing w:line="240" w:lineRule="exact"/>
              <w:jc w:val="center"/>
              <w:rPr>
                <w:rFonts w:ascii="Times New Roman" w:hAnsi="Times New Roman" w:cs="宋体"/>
                <w:b w:val="0"/>
                <w:color w:val="FF0000"/>
                <w:spacing w:val="0"/>
                <w:sz w:val="21"/>
                <w:szCs w:val="21"/>
              </w:rPr>
            </w:pPr>
          </w:p>
        </w:tc>
        <w:tc>
          <w:tcPr>
            <w:tcW w:w="714" w:type="dxa"/>
            <w:tcBorders>
              <w:top w:val="nil"/>
              <w:left w:val="nil"/>
              <w:bottom w:val="single" w:color="auto" w:sz="4" w:space="0"/>
              <w:right w:val="single" w:color="auto" w:sz="4" w:space="0"/>
            </w:tcBorders>
            <w:shd w:val="clear" w:color="auto" w:fill="auto"/>
            <w:vAlign w:val="center"/>
          </w:tcPr>
          <w:p w14:paraId="16EF3B94">
            <w:pPr>
              <w:widowControl/>
              <w:spacing w:line="240" w:lineRule="exact"/>
              <w:jc w:val="center"/>
              <w:rPr>
                <w:rFonts w:ascii="Times New Roman" w:hAnsi="Times New Roman" w:cs="宋体"/>
                <w:b w:val="0"/>
                <w:color w:val="FF0000"/>
                <w:spacing w:val="0"/>
                <w:sz w:val="21"/>
                <w:szCs w:val="21"/>
              </w:rPr>
            </w:pPr>
          </w:p>
        </w:tc>
        <w:tc>
          <w:tcPr>
            <w:tcW w:w="798" w:type="dxa"/>
            <w:tcBorders>
              <w:top w:val="nil"/>
              <w:left w:val="nil"/>
              <w:bottom w:val="single" w:color="auto" w:sz="4" w:space="0"/>
              <w:right w:val="single" w:color="auto" w:sz="4" w:space="0"/>
            </w:tcBorders>
            <w:shd w:val="clear" w:color="auto" w:fill="auto"/>
            <w:vAlign w:val="center"/>
          </w:tcPr>
          <w:p w14:paraId="69E2B323">
            <w:pPr>
              <w:widowControl/>
              <w:spacing w:line="240" w:lineRule="exact"/>
              <w:jc w:val="center"/>
              <w:rPr>
                <w:rFonts w:ascii="Times New Roman" w:hAnsi="Times New Roman" w:cs="宋体"/>
                <w:b w:val="0"/>
                <w:color w:val="FF0000"/>
                <w:spacing w:val="0"/>
                <w:sz w:val="21"/>
                <w:szCs w:val="21"/>
              </w:rPr>
            </w:pPr>
          </w:p>
        </w:tc>
        <w:tc>
          <w:tcPr>
            <w:tcW w:w="756" w:type="dxa"/>
            <w:tcBorders>
              <w:top w:val="nil"/>
              <w:left w:val="nil"/>
              <w:bottom w:val="single" w:color="auto" w:sz="4" w:space="0"/>
              <w:right w:val="single" w:color="auto" w:sz="4" w:space="0"/>
            </w:tcBorders>
            <w:shd w:val="clear" w:color="auto" w:fill="auto"/>
            <w:vAlign w:val="center"/>
          </w:tcPr>
          <w:p w14:paraId="5614F51B">
            <w:pPr>
              <w:widowControl/>
              <w:spacing w:line="240" w:lineRule="exact"/>
              <w:jc w:val="center"/>
              <w:rPr>
                <w:rFonts w:ascii="Times New Roman" w:hAnsi="Times New Roman" w:cs="宋体"/>
                <w:b w:val="0"/>
                <w:color w:val="FF0000"/>
                <w:spacing w:val="0"/>
                <w:sz w:val="21"/>
                <w:szCs w:val="21"/>
              </w:rPr>
            </w:pPr>
          </w:p>
        </w:tc>
      </w:tr>
      <w:tr w14:paraId="29D81818">
        <w:tblPrEx>
          <w:tblCellMar>
            <w:top w:w="0" w:type="dxa"/>
            <w:left w:w="108" w:type="dxa"/>
            <w:bottom w:w="0" w:type="dxa"/>
            <w:right w:w="108" w:type="dxa"/>
          </w:tblCellMar>
        </w:tblPrEx>
        <w:trPr>
          <w:trHeight w:val="2268" w:hRule="atLeast"/>
          <w:jc w:val="center"/>
        </w:trPr>
        <w:tc>
          <w:tcPr>
            <w:tcW w:w="739" w:type="dxa"/>
            <w:vMerge w:val="continue"/>
            <w:tcBorders>
              <w:left w:val="single" w:color="auto" w:sz="4" w:space="0"/>
              <w:right w:val="single" w:color="auto" w:sz="4" w:space="0"/>
            </w:tcBorders>
            <w:vAlign w:val="center"/>
          </w:tcPr>
          <w:p w14:paraId="198AAA6F">
            <w:pPr>
              <w:widowControl/>
              <w:spacing w:line="240" w:lineRule="exact"/>
              <w:jc w:val="center"/>
              <w:rPr>
                <w:rFonts w:ascii="Times New Roman" w:hAnsi="Times New Roman" w:eastAsia="楷体_GB2312" w:cs="宋体"/>
                <w:b w:val="0"/>
                <w:color w:val="000000"/>
                <w:spacing w:val="0"/>
                <w:sz w:val="24"/>
                <w:szCs w:val="24"/>
              </w:rPr>
            </w:pPr>
          </w:p>
        </w:tc>
        <w:tc>
          <w:tcPr>
            <w:tcW w:w="713" w:type="dxa"/>
            <w:tcBorders>
              <w:top w:val="single" w:color="auto" w:sz="4" w:space="0"/>
              <w:left w:val="nil"/>
              <w:bottom w:val="single" w:color="auto" w:sz="4" w:space="0"/>
              <w:right w:val="single" w:color="auto" w:sz="4" w:space="0"/>
            </w:tcBorders>
            <w:shd w:val="clear" w:color="auto" w:fill="auto"/>
            <w:vAlign w:val="center"/>
          </w:tcPr>
          <w:p w14:paraId="3A144D97">
            <w:pPr>
              <w:widowControl/>
              <w:spacing w:line="240" w:lineRule="exact"/>
              <w:jc w:val="center"/>
              <w:rPr>
                <w:rFonts w:ascii="Times New Roman" w:hAnsi="Times New Roman" w:eastAsia="楷体" w:cs="楷体"/>
                <w:b w:val="0"/>
                <w:color w:val="000000"/>
                <w:spacing w:val="0"/>
                <w:sz w:val="24"/>
                <w:szCs w:val="24"/>
              </w:rPr>
            </w:pPr>
            <w:r>
              <w:rPr>
                <w:rFonts w:hint="eastAsia" w:ascii="Times New Roman" w:hAnsi="Times New Roman" w:eastAsia="楷体" w:cs="楷体"/>
                <w:b w:val="0"/>
                <w:color w:val="000000"/>
                <w:spacing w:val="0"/>
                <w:sz w:val="24"/>
                <w:szCs w:val="24"/>
              </w:rPr>
              <w:t>科研成果</w:t>
            </w:r>
          </w:p>
        </w:tc>
        <w:tc>
          <w:tcPr>
            <w:tcW w:w="5377" w:type="dxa"/>
            <w:tcBorders>
              <w:top w:val="single" w:color="auto" w:sz="4" w:space="0"/>
              <w:left w:val="nil"/>
              <w:bottom w:val="single" w:color="auto" w:sz="4" w:space="0"/>
              <w:right w:val="single" w:color="auto" w:sz="4" w:space="0"/>
            </w:tcBorders>
            <w:shd w:val="clear" w:color="auto" w:fill="auto"/>
            <w:vAlign w:val="center"/>
          </w:tcPr>
          <w:p w14:paraId="671F4EBE">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Theme="minorEastAsia" w:cstheme="minorEastAsia"/>
                <w:b w:val="0"/>
                <w:spacing w:val="-4"/>
                <w:sz w:val="18"/>
                <w:szCs w:val="18"/>
              </w:rPr>
            </w:pPr>
            <w:r>
              <w:rPr>
                <w:rFonts w:hint="eastAsia" w:ascii="Times New Roman" w:hAnsi="Times New Roman" w:eastAsiaTheme="minorEastAsia" w:cstheme="minorEastAsia"/>
                <w:b w:val="0"/>
                <w:spacing w:val="-4"/>
                <w:sz w:val="18"/>
                <w:szCs w:val="18"/>
              </w:rPr>
              <w:t>作为第一作者发表论文文章且被SCI</w:t>
            </w:r>
            <w:r>
              <w:rPr>
                <w:rFonts w:hint="eastAsia" w:ascii="Times New Roman" w:hAnsi="Times New Roman" w:eastAsiaTheme="minorEastAsia" w:cstheme="minorEastAsia"/>
                <w:b w:val="0"/>
                <w:spacing w:val="-4"/>
                <w:sz w:val="18"/>
                <w:szCs w:val="18"/>
                <w:lang w:eastAsia="zh-CN"/>
              </w:rPr>
              <w:t>、</w:t>
            </w:r>
            <w:r>
              <w:rPr>
                <w:rFonts w:hint="eastAsia" w:ascii="Times New Roman" w:hAnsi="Times New Roman" w:eastAsiaTheme="minorEastAsia" w:cstheme="minorEastAsia"/>
                <w:b w:val="0"/>
                <w:spacing w:val="-4"/>
                <w:sz w:val="18"/>
                <w:szCs w:val="18"/>
                <w:lang w:val="en-US" w:eastAsia="zh-CN"/>
              </w:rPr>
              <w:t>SSCI</w:t>
            </w:r>
            <w:r>
              <w:rPr>
                <w:rFonts w:hint="eastAsia" w:ascii="Times New Roman" w:hAnsi="Times New Roman" w:eastAsiaTheme="minorEastAsia" w:cstheme="minorEastAsia"/>
                <w:b w:val="0"/>
                <w:spacing w:val="-4"/>
                <w:sz w:val="18"/>
                <w:szCs w:val="18"/>
              </w:rPr>
              <w:t>收录者，每篇得7分；作为除导师以外第一作者发表论文文章且被SCI</w:t>
            </w:r>
            <w:r>
              <w:rPr>
                <w:rFonts w:hint="eastAsia" w:ascii="Times New Roman" w:hAnsi="Times New Roman" w:eastAsiaTheme="minorEastAsia" w:cstheme="minorEastAsia"/>
                <w:b w:val="0"/>
                <w:spacing w:val="-4"/>
                <w:sz w:val="18"/>
                <w:szCs w:val="18"/>
                <w:lang w:eastAsia="zh-CN"/>
              </w:rPr>
              <w:t>、</w:t>
            </w:r>
            <w:r>
              <w:rPr>
                <w:rFonts w:hint="eastAsia" w:ascii="Times New Roman" w:hAnsi="Times New Roman" w:eastAsiaTheme="minorEastAsia" w:cstheme="minorEastAsia"/>
                <w:b w:val="0"/>
                <w:spacing w:val="-4"/>
                <w:sz w:val="18"/>
                <w:szCs w:val="18"/>
                <w:lang w:val="en-US" w:eastAsia="zh-CN"/>
              </w:rPr>
              <w:t>SSCI</w:t>
            </w:r>
            <w:r>
              <w:rPr>
                <w:rFonts w:hint="eastAsia" w:ascii="Times New Roman" w:hAnsi="Times New Roman" w:eastAsiaTheme="minorEastAsia" w:cstheme="minorEastAsia"/>
                <w:b w:val="0"/>
                <w:spacing w:val="-4"/>
                <w:sz w:val="18"/>
                <w:szCs w:val="18"/>
              </w:rPr>
              <w:t>收录者，每篇得4分；作为除导师以外第二作者发表论文文章且被SCI</w:t>
            </w:r>
            <w:r>
              <w:rPr>
                <w:rFonts w:hint="eastAsia" w:ascii="Times New Roman" w:hAnsi="Times New Roman" w:eastAsiaTheme="minorEastAsia" w:cstheme="minorEastAsia"/>
                <w:b w:val="0"/>
                <w:spacing w:val="-4"/>
                <w:sz w:val="18"/>
                <w:szCs w:val="18"/>
                <w:lang w:eastAsia="zh-CN"/>
              </w:rPr>
              <w:t>、</w:t>
            </w:r>
            <w:r>
              <w:rPr>
                <w:rFonts w:hint="eastAsia" w:ascii="Times New Roman" w:hAnsi="Times New Roman" w:eastAsiaTheme="minorEastAsia" w:cstheme="minorEastAsia"/>
                <w:b w:val="0"/>
                <w:spacing w:val="-4"/>
                <w:sz w:val="18"/>
                <w:szCs w:val="18"/>
                <w:lang w:val="en-US" w:eastAsia="zh-CN"/>
              </w:rPr>
              <w:t>SSCI</w:t>
            </w:r>
            <w:r>
              <w:rPr>
                <w:rFonts w:hint="eastAsia" w:ascii="Times New Roman" w:hAnsi="Times New Roman" w:eastAsiaTheme="minorEastAsia" w:cstheme="minorEastAsia"/>
                <w:b w:val="0"/>
                <w:spacing w:val="-4"/>
                <w:sz w:val="18"/>
                <w:szCs w:val="18"/>
              </w:rPr>
              <w:t>收录者，每篇得2分；作为第一作者发表论文文章且被EI收录者，每篇得1分。同一篇文章按最高分计算。作为第一发明人发表发明专利，每项得5分。各项累加不超过10分。</w:t>
            </w:r>
          </w:p>
        </w:tc>
        <w:tc>
          <w:tcPr>
            <w:tcW w:w="640" w:type="dxa"/>
            <w:tcBorders>
              <w:top w:val="single" w:color="auto" w:sz="4" w:space="0"/>
              <w:left w:val="nil"/>
              <w:bottom w:val="single" w:color="auto" w:sz="4" w:space="0"/>
              <w:right w:val="single" w:color="auto" w:sz="4" w:space="0"/>
            </w:tcBorders>
            <w:shd w:val="clear" w:color="auto" w:fill="auto"/>
            <w:vAlign w:val="center"/>
          </w:tcPr>
          <w:p w14:paraId="497B0E01">
            <w:pPr>
              <w:widowControl/>
              <w:spacing w:line="240" w:lineRule="exact"/>
              <w:jc w:val="center"/>
              <w:rPr>
                <w:rFonts w:ascii="Times New Roman" w:hAnsi="Times New Roman" w:cs="宋体"/>
                <w:b w:val="0"/>
                <w:spacing w:val="0"/>
                <w:sz w:val="24"/>
                <w:szCs w:val="24"/>
              </w:rPr>
            </w:pPr>
            <w:r>
              <w:rPr>
                <w:rFonts w:hint="eastAsia" w:ascii="Times New Roman" w:hAnsi="Times New Roman" w:cs="宋体"/>
                <w:b w:val="0"/>
                <w:spacing w:val="0"/>
                <w:sz w:val="24"/>
                <w:szCs w:val="24"/>
              </w:rPr>
              <w:t>10</w:t>
            </w:r>
          </w:p>
        </w:tc>
        <w:tc>
          <w:tcPr>
            <w:tcW w:w="863" w:type="dxa"/>
            <w:tcBorders>
              <w:top w:val="single" w:color="auto" w:sz="4" w:space="0"/>
              <w:left w:val="nil"/>
              <w:bottom w:val="single" w:color="auto" w:sz="4" w:space="0"/>
              <w:right w:val="single" w:color="auto" w:sz="4" w:space="0"/>
            </w:tcBorders>
            <w:shd w:val="clear" w:color="auto" w:fill="auto"/>
            <w:vAlign w:val="center"/>
          </w:tcPr>
          <w:p w14:paraId="7195760B">
            <w:pPr>
              <w:widowControl/>
              <w:spacing w:line="240" w:lineRule="exact"/>
              <w:jc w:val="center"/>
              <w:rPr>
                <w:rFonts w:ascii="Times New Roman" w:hAnsi="Times New Roman" w:cs="宋体"/>
                <w:b w:val="0"/>
                <w:color w:val="FF0000"/>
                <w:spacing w:val="0"/>
                <w:sz w:val="21"/>
                <w:szCs w:val="21"/>
              </w:rPr>
            </w:pPr>
          </w:p>
        </w:tc>
        <w:tc>
          <w:tcPr>
            <w:tcW w:w="714" w:type="dxa"/>
            <w:tcBorders>
              <w:top w:val="single" w:color="auto" w:sz="4" w:space="0"/>
              <w:left w:val="nil"/>
              <w:bottom w:val="single" w:color="auto" w:sz="4" w:space="0"/>
              <w:right w:val="single" w:color="auto" w:sz="4" w:space="0"/>
            </w:tcBorders>
            <w:shd w:val="clear" w:color="auto" w:fill="auto"/>
            <w:vAlign w:val="center"/>
          </w:tcPr>
          <w:p w14:paraId="35B77472">
            <w:pPr>
              <w:widowControl/>
              <w:spacing w:line="240" w:lineRule="exact"/>
              <w:jc w:val="center"/>
              <w:rPr>
                <w:rFonts w:ascii="Times New Roman" w:hAnsi="Times New Roman" w:cs="宋体"/>
                <w:b w:val="0"/>
                <w:color w:val="FF0000"/>
                <w:spacing w:val="0"/>
                <w:sz w:val="21"/>
                <w:szCs w:val="21"/>
              </w:rPr>
            </w:pPr>
          </w:p>
        </w:tc>
        <w:tc>
          <w:tcPr>
            <w:tcW w:w="798" w:type="dxa"/>
            <w:tcBorders>
              <w:top w:val="single" w:color="auto" w:sz="4" w:space="0"/>
              <w:left w:val="nil"/>
              <w:bottom w:val="single" w:color="auto" w:sz="4" w:space="0"/>
              <w:right w:val="single" w:color="auto" w:sz="4" w:space="0"/>
            </w:tcBorders>
            <w:shd w:val="clear" w:color="auto" w:fill="auto"/>
            <w:vAlign w:val="center"/>
          </w:tcPr>
          <w:p w14:paraId="6CAD603C">
            <w:pPr>
              <w:widowControl/>
              <w:spacing w:line="240" w:lineRule="exact"/>
              <w:jc w:val="center"/>
              <w:rPr>
                <w:rFonts w:ascii="Times New Roman" w:hAnsi="Times New Roman" w:cs="宋体"/>
                <w:b w:val="0"/>
                <w:color w:val="FF0000"/>
                <w:spacing w:val="0"/>
                <w:sz w:val="21"/>
                <w:szCs w:val="21"/>
              </w:rPr>
            </w:pPr>
          </w:p>
        </w:tc>
        <w:tc>
          <w:tcPr>
            <w:tcW w:w="756" w:type="dxa"/>
            <w:tcBorders>
              <w:top w:val="single" w:color="auto" w:sz="4" w:space="0"/>
              <w:left w:val="nil"/>
              <w:bottom w:val="single" w:color="auto" w:sz="4" w:space="0"/>
              <w:right w:val="single" w:color="auto" w:sz="4" w:space="0"/>
            </w:tcBorders>
            <w:shd w:val="clear" w:color="auto" w:fill="auto"/>
            <w:vAlign w:val="center"/>
          </w:tcPr>
          <w:p w14:paraId="521730B1">
            <w:pPr>
              <w:widowControl/>
              <w:spacing w:line="240" w:lineRule="exact"/>
              <w:jc w:val="center"/>
              <w:rPr>
                <w:rFonts w:ascii="Times New Roman" w:hAnsi="Times New Roman" w:cs="宋体"/>
                <w:b w:val="0"/>
                <w:color w:val="FF0000"/>
                <w:spacing w:val="0"/>
                <w:sz w:val="21"/>
                <w:szCs w:val="21"/>
              </w:rPr>
            </w:pPr>
          </w:p>
        </w:tc>
      </w:tr>
      <w:tr w14:paraId="03F99760">
        <w:tblPrEx>
          <w:tblCellMar>
            <w:top w:w="0" w:type="dxa"/>
            <w:left w:w="108" w:type="dxa"/>
            <w:bottom w:w="0" w:type="dxa"/>
            <w:right w:w="108" w:type="dxa"/>
          </w:tblCellMar>
        </w:tblPrEx>
        <w:trPr>
          <w:trHeight w:val="1570" w:hRule="atLeast"/>
          <w:jc w:val="center"/>
        </w:trPr>
        <w:tc>
          <w:tcPr>
            <w:tcW w:w="739" w:type="dxa"/>
            <w:vMerge w:val="continue"/>
            <w:tcBorders>
              <w:left w:val="single" w:color="auto" w:sz="4" w:space="0"/>
              <w:right w:val="single" w:color="auto" w:sz="4" w:space="0"/>
            </w:tcBorders>
            <w:vAlign w:val="center"/>
          </w:tcPr>
          <w:p w14:paraId="01059BAA">
            <w:pPr>
              <w:widowControl/>
              <w:spacing w:line="240" w:lineRule="exact"/>
              <w:jc w:val="center"/>
              <w:rPr>
                <w:rFonts w:ascii="Times New Roman" w:hAnsi="Times New Roman" w:eastAsia="楷体_GB2312" w:cs="宋体"/>
                <w:b w:val="0"/>
                <w:color w:val="000000"/>
                <w:spacing w:val="0"/>
                <w:sz w:val="24"/>
                <w:szCs w:val="24"/>
              </w:rPr>
            </w:pPr>
          </w:p>
        </w:tc>
        <w:tc>
          <w:tcPr>
            <w:tcW w:w="713" w:type="dxa"/>
            <w:tcBorders>
              <w:top w:val="nil"/>
              <w:left w:val="nil"/>
              <w:bottom w:val="single" w:color="auto" w:sz="4" w:space="0"/>
              <w:right w:val="single" w:color="auto" w:sz="4" w:space="0"/>
            </w:tcBorders>
            <w:shd w:val="clear" w:color="auto" w:fill="auto"/>
            <w:vAlign w:val="center"/>
          </w:tcPr>
          <w:p w14:paraId="5C284B72">
            <w:pPr>
              <w:widowControl/>
              <w:spacing w:line="240" w:lineRule="exact"/>
              <w:jc w:val="center"/>
              <w:rPr>
                <w:rFonts w:ascii="Times New Roman" w:hAnsi="Times New Roman" w:eastAsia="楷体" w:cs="楷体"/>
                <w:b w:val="0"/>
                <w:color w:val="000000"/>
                <w:spacing w:val="0"/>
                <w:sz w:val="24"/>
                <w:szCs w:val="24"/>
              </w:rPr>
            </w:pPr>
            <w:r>
              <w:rPr>
                <w:rFonts w:hint="eastAsia" w:ascii="Times New Roman" w:hAnsi="Times New Roman" w:eastAsia="楷体" w:cs="楷体"/>
                <w:b w:val="0"/>
                <w:color w:val="000000"/>
                <w:spacing w:val="0"/>
                <w:sz w:val="24"/>
                <w:szCs w:val="24"/>
              </w:rPr>
              <w:t>职业资格</w:t>
            </w:r>
          </w:p>
        </w:tc>
        <w:tc>
          <w:tcPr>
            <w:tcW w:w="5377" w:type="dxa"/>
            <w:tcBorders>
              <w:top w:val="nil"/>
              <w:left w:val="nil"/>
              <w:bottom w:val="single" w:color="auto" w:sz="4" w:space="0"/>
              <w:right w:val="single" w:color="auto" w:sz="4" w:space="0"/>
            </w:tcBorders>
            <w:shd w:val="clear" w:color="auto" w:fill="auto"/>
            <w:vAlign w:val="center"/>
          </w:tcPr>
          <w:p w14:paraId="36501684">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Theme="minorEastAsia" w:cstheme="minorEastAsia"/>
                <w:b w:val="0"/>
                <w:color w:val="000000"/>
                <w:spacing w:val="-4"/>
                <w:sz w:val="18"/>
                <w:szCs w:val="18"/>
              </w:rPr>
            </w:pPr>
            <w:r>
              <w:rPr>
                <w:rFonts w:hint="eastAsia" w:ascii="Times New Roman" w:hAnsi="Times New Roman" w:cs="宋体"/>
                <w:b w:val="0"/>
                <w:color w:val="000000"/>
                <w:spacing w:val="0"/>
                <w:sz w:val="18"/>
                <w:szCs w:val="18"/>
                <w:lang w:val="en-US" w:eastAsia="zh-CN"/>
              </w:rPr>
              <w:t>取得</w:t>
            </w:r>
            <w:r>
              <w:rPr>
                <w:rFonts w:hint="eastAsia" w:ascii="Times New Roman" w:hAnsi="Times New Roman" w:eastAsia="宋体" w:cs="宋体"/>
                <w:b w:val="0"/>
                <w:color w:val="000000"/>
                <w:spacing w:val="0"/>
                <w:sz w:val="18"/>
                <w:szCs w:val="18"/>
              </w:rPr>
              <w:t>副高级及以上水平评价类专业技术人员职业资格</w:t>
            </w:r>
            <w:r>
              <w:rPr>
                <w:rFonts w:hint="eastAsia" w:ascii="Times New Roman" w:hAnsi="Times New Roman" w:eastAsia="宋体" w:cs="宋体"/>
                <w:b w:val="0"/>
                <w:color w:val="000000"/>
                <w:spacing w:val="-4"/>
                <w:sz w:val="18"/>
                <w:szCs w:val="18"/>
              </w:rPr>
              <w:t>的得</w:t>
            </w:r>
            <w:r>
              <w:rPr>
                <w:rFonts w:hint="eastAsia" w:ascii="Times New Roman" w:hAnsi="Times New Roman" w:cs="宋体"/>
                <w:b w:val="0"/>
                <w:color w:val="000000"/>
                <w:spacing w:val="-4"/>
                <w:sz w:val="18"/>
                <w:szCs w:val="18"/>
                <w:lang w:val="en-US" w:eastAsia="zh-CN"/>
              </w:rPr>
              <w:t>8</w:t>
            </w:r>
            <w:r>
              <w:rPr>
                <w:rFonts w:hint="eastAsia" w:ascii="Times New Roman" w:hAnsi="Times New Roman" w:eastAsia="宋体" w:cs="宋体"/>
                <w:b w:val="0"/>
                <w:color w:val="000000"/>
                <w:spacing w:val="-4"/>
                <w:sz w:val="18"/>
                <w:szCs w:val="18"/>
              </w:rPr>
              <w:t>分，</w:t>
            </w:r>
            <w:r>
              <w:rPr>
                <w:rFonts w:hint="eastAsia" w:ascii="Times New Roman" w:hAnsi="Times New Roman" w:eastAsia="宋体" w:cs="宋体"/>
                <w:b w:val="0"/>
                <w:color w:val="000000"/>
                <w:spacing w:val="0"/>
                <w:sz w:val="18"/>
                <w:szCs w:val="18"/>
              </w:rPr>
              <w:t>取得可对应至中级职称的专业技术人员职业资格得</w:t>
            </w:r>
            <w:r>
              <w:rPr>
                <w:rFonts w:hint="eastAsia" w:ascii="Times New Roman" w:hAnsi="Times New Roman" w:cs="宋体"/>
                <w:b w:val="0"/>
                <w:color w:val="000000"/>
                <w:spacing w:val="0"/>
                <w:sz w:val="18"/>
                <w:szCs w:val="18"/>
                <w:lang w:val="en-US" w:eastAsia="zh-CN"/>
              </w:rPr>
              <w:t>5</w:t>
            </w:r>
            <w:r>
              <w:rPr>
                <w:rFonts w:hint="eastAsia" w:ascii="Times New Roman" w:hAnsi="Times New Roman" w:eastAsia="宋体" w:cs="宋体"/>
                <w:b w:val="0"/>
                <w:color w:val="000000"/>
                <w:spacing w:val="0"/>
                <w:sz w:val="18"/>
                <w:szCs w:val="18"/>
              </w:rPr>
              <w:t>分，</w:t>
            </w:r>
            <w:r>
              <w:rPr>
                <w:rFonts w:hint="eastAsia" w:ascii="Times New Roman" w:hAnsi="Times New Roman" w:eastAsiaTheme="majorEastAsia" w:cstheme="majorEastAsia"/>
                <w:b w:val="0"/>
                <w:color w:val="000000"/>
                <w:spacing w:val="0"/>
                <w:sz w:val="18"/>
                <w:szCs w:val="18"/>
              </w:rPr>
              <w:t>在可按照级别划分的</w:t>
            </w:r>
            <w:r>
              <w:rPr>
                <w:rFonts w:hint="eastAsia" w:ascii="Times New Roman" w:hAnsi="Times New Roman" w:eastAsia="宋体" w:cs="宋体"/>
                <w:b w:val="0"/>
                <w:color w:val="000000"/>
                <w:spacing w:val="0"/>
                <w:sz w:val="18"/>
                <w:szCs w:val="18"/>
              </w:rPr>
              <w:t>准入类专业技术人员职业资格中取得最高级别职业资格的得</w:t>
            </w:r>
            <w:r>
              <w:rPr>
                <w:rFonts w:hint="eastAsia" w:ascii="Times New Roman" w:hAnsi="Times New Roman" w:cs="宋体"/>
                <w:b w:val="0"/>
                <w:color w:val="000000"/>
                <w:spacing w:val="0"/>
                <w:sz w:val="18"/>
                <w:szCs w:val="18"/>
                <w:lang w:val="en-US" w:eastAsia="zh-CN"/>
              </w:rPr>
              <w:t>5</w:t>
            </w:r>
            <w:r>
              <w:rPr>
                <w:rFonts w:hint="eastAsia" w:ascii="Times New Roman" w:hAnsi="Times New Roman" w:eastAsia="宋体" w:cs="宋体"/>
                <w:b w:val="0"/>
                <w:color w:val="000000"/>
                <w:spacing w:val="0"/>
                <w:sz w:val="18"/>
                <w:szCs w:val="18"/>
                <w:lang w:val="en-US" w:eastAsia="zh-CN"/>
              </w:rPr>
              <w:t>分，</w:t>
            </w:r>
            <w:r>
              <w:rPr>
                <w:rFonts w:hint="eastAsia" w:ascii="Times New Roman" w:hAnsi="Times New Roman" w:eastAsia="宋体" w:cs="宋体"/>
                <w:b w:val="0"/>
                <w:color w:val="000000"/>
                <w:spacing w:val="0"/>
                <w:sz w:val="18"/>
                <w:szCs w:val="18"/>
              </w:rPr>
              <w:t>按所取得最高级职称计算，不累加计算。</w:t>
            </w:r>
          </w:p>
        </w:tc>
        <w:tc>
          <w:tcPr>
            <w:tcW w:w="640" w:type="dxa"/>
            <w:tcBorders>
              <w:top w:val="nil"/>
              <w:left w:val="nil"/>
              <w:bottom w:val="single" w:color="auto" w:sz="4" w:space="0"/>
              <w:right w:val="single" w:color="auto" w:sz="4" w:space="0"/>
            </w:tcBorders>
            <w:shd w:val="clear" w:color="auto" w:fill="auto"/>
            <w:vAlign w:val="center"/>
          </w:tcPr>
          <w:p w14:paraId="287045CA">
            <w:pPr>
              <w:widowControl/>
              <w:spacing w:line="240" w:lineRule="exact"/>
              <w:jc w:val="center"/>
              <w:rPr>
                <w:rFonts w:hint="default" w:ascii="Times New Roman" w:hAnsi="Times New Roman" w:eastAsia="宋体" w:cs="宋体"/>
                <w:b w:val="0"/>
                <w:color w:val="000000"/>
                <w:spacing w:val="0"/>
                <w:sz w:val="24"/>
                <w:szCs w:val="24"/>
                <w:lang w:val="en-US" w:eastAsia="zh-CN"/>
              </w:rPr>
            </w:pPr>
            <w:r>
              <w:rPr>
                <w:rFonts w:hint="eastAsia" w:ascii="Times New Roman" w:hAnsi="Times New Roman" w:cs="宋体"/>
                <w:b w:val="0"/>
                <w:color w:val="000000"/>
                <w:spacing w:val="0"/>
                <w:sz w:val="24"/>
                <w:szCs w:val="24"/>
                <w:lang w:val="en-US" w:eastAsia="zh-CN"/>
              </w:rPr>
              <w:t>8</w:t>
            </w:r>
          </w:p>
        </w:tc>
        <w:tc>
          <w:tcPr>
            <w:tcW w:w="863" w:type="dxa"/>
            <w:tcBorders>
              <w:top w:val="nil"/>
              <w:left w:val="nil"/>
              <w:bottom w:val="single" w:color="auto" w:sz="4" w:space="0"/>
              <w:right w:val="single" w:color="auto" w:sz="4" w:space="0"/>
            </w:tcBorders>
            <w:shd w:val="clear" w:color="auto" w:fill="auto"/>
            <w:vAlign w:val="center"/>
          </w:tcPr>
          <w:p w14:paraId="47B20477">
            <w:pPr>
              <w:widowControl/>
              <w:spacing w:line="240" w:lineRule="exact"/>
              <w:jc w:val="center"/>
              <w:rPr>
                <w:rFonts w:ascii="Times New Roman" w:hAnsi="Times New Roman" w:cs="宋体"/>
                <w:b w:val="0"/>
                <w:color w:val="FF0000"/>
                <w:spacing w:val="0"/>
                <w:sz w:val="21"/>
                <w:szCs w:val="21"/>
              </w:rPr>
            </w:pPr>
          </w:p>
        </w:tc>
        <w:tc>
          <w:tcPr>
            <w:tcW w:w="714" w:type="dxa"/>
            <w:tcBorders>
              <w:top w:val="nil"/>
              <w:left w:val="nil"/>
              <w:bottom w:val="single" w:color="auto" w:sz="4" w:space="0"/>
              <w:right w:val="single" w:color="auto" w:sz="4" w:space="0"/>
            </w:tcBorders>
            <w:shd w:val="clear" w:color="auto" w:fill="auto"/>
            <w:vAlign w:val="center"/>
          </w:tcPr>
          <w:p w14:paraId="564E628F">
            <w:pPr>
              <w:widowControl/>
              <w:spacing w:line="240" w:lineRule="exact"/>
              <w:jc w:val="center"/>
              <w:rPr>
                <w:rFonts w:ascii="Times New Roman" w:hAnsi="Times New Roman" w:cs="宋体"/>
                <w:b w:val="0"/>
                <w:color w:val="FF0000"/>
                <w:spacing w:val="0"/>
                <w:sz w:val="21"/>
                <w:szCs w:val="21"/>
              </w:rPr>
            </w:pPr>
          </w:p>
        </w:tc>
        <w:tc>
          <w:tcPr>
            <w:tcW w:w="798" w:type="dxa"/>
            <w:tcBorders>
              <w:top w:val="nil"/>
              <w:left w:val="nil"/>
              <w:bottom w:val="single" w:color="auto" w:sz="4" w:space="0"/>
              <w:right w:val="single" w:color="auto" w:sz="4" w:space="0"/>
            </w:tcBorders>
            <w:shd w:val="clear" w:color="auto" w:fill="auto"/>
            <w:vAlign w:val="center"/>
          </w:tcPr>
          <w:p w14:paraId="0BB31BD1">
            <w:pPr>
              <w:widowControl/>
              <w:spacing w:line="240" w:lineRule="exact"/>
              <w:jc w:val="center"/>
              <w:rPr>
                <w:rFonts w:ascii="Times New Roman" w:hAnsi="Times New Roman" w:cs="宋体"/>
                <w:b w:val="0"/>
                <w:color w:val="FF0000"/>
                <w:spacing w:val="0"/>
                <w:sz w:val="21"/>
                <w:szCs w:val="21"/>
              </w:rPr>
            </w:pPr>
          </w:p>
        </w:tc>
        <w:tc>
          <w:tcPr>
            <w:tcW w:w="756" w:type="dxa"/>
            <w:tcBorders>
              <w:top w:val="nil"/>
              <w:left w:val="nil"/>
              <w:bottom w:val="single" w:color="auto" w:sz="4" w:space="0"/>
              <w:right w:val="single" w:color="auto" w:sz="4" w:space="0"/>
            </w:tcBorders>
            <w:shd w:val="clear" w:color="auto" w:fill="auto"/>
            <w:vAlign w:val="center"/>
          </w:tcPr>
          <w:p w14:paraId="383D06ED">
            <w:pPr>
              <w:widowControl/>
              <w:spacing w:line="240" w:lineRule="exact"/>
              <w:jc w:val="center"/>
              <w:rPr>
                <w:rFonts w:ascii="Times New Roman" w:hAnsi="Times New Roman" w:cs="宋体"/>
                <w:b w:val="0"/>
                <w:color w:val="FF0000"/>
                <w:spacing w:val="0"/>
                <w:sz w:val="21"/>
                <w:szCs w:val="21"/>
              </w:rPr>
            </w:pPr>
          </w:p>
        </w:tc>
      </w:tr>
      <w:tr w14:paraId="14C1F741">
        <w:tblPrEx>
          <w:tblCellMar>
            <w:top w:w="0" w:type="dxa"/>
            <w:left w:w="108" w:type="dxa"/>
            <w:bottom w:w="0" w:type="dxa"/>
            <w:right w:w="108" w:type="dxa"/>
          </w:tblCellMar>
        </w:tblPrEx>
        <w:trPr>
          <w:trHeight w:val="839" w:hRule="atLeast"/>
          <w:jc w:val="center"/>
        </w:trPr>
        <w:tc>
          <w:tcPr>
            <w:tcW w:w="739" w:type="dxa"/>
            <w:vMerge w:val="continue"/>
            <w:tcBorders>
              <w:left w:val="single" w:color="auto" w:sz="4" w:space="0"/>
              <w:right w:val="single" w:color="auto" w:sz="4" w:space="0"/>
            </w:tcBorders>
            <w:vAlign w:val="center"/>
          </w:tcPr>
          <w:p w14:paraId="594F959F">
            <w:pPr>
              <w:widowControl/>
              <w:spacing w:line="240" w:lineRule="exact"/>
              <w:jc w:val="center"/>
              <w:rPr>
                <w:rFonts w:ascii="Times New Roman" w:hAnsi="Times New Roman" w:eastAsia="楷体_GB2312" w:cs="宋体"/>
                <w:b w:val="0"/>
                <w:color w:val="000000"/>
                <w:spacing w:val="0"/>
                <w:sz w:val="24"/>
                <w:szCs w:val="24"/>
              </w:rPr>
            </w:pPr>
          </w:p>
        </w:tc>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14:paraId="0442B1A0">
            <w:pPr>
              <w:widowControl/>
              <w:spacing w:line="240" w:lineRule="exact"/>
              <w:jc w:val="center"/>
              <w:rPr>
                <w:rFonts w:ascii="Times New Roman" w:hAnsi="Times New Roman" w:eastAsia="楷体" w:cs="楷体"/>
                <w:b w:val="0"/>
                <w:color w:val="000000"/>
                <w:spacing w:val="0"/>
                <w:sz w:val="24"/>
                <w:szCs w:val="24"/>
              </w:rPr>
            </w:pPr>
            <w:r>
              <w:rPr>
                <w:rFonts w:hint="eastAsia" w:ascii="Times New Roman" w:hAnsi="Times New Roman" w:eastAsia="楷体" w:cs="楷体"/>
                <w:b w:val="0"/>
                <w:color w:val="000000"/>
                <w:spacing w:val="0"/>
                <w:sz w:val="22"/>
                <w:szCs w:val="22"/>
              </w:rPr>
              <w:t>专业技术职称</w:t>
            </w:r>
          </w:p>
        </w:tc>
        <w:tc>
          <w:tcPr>
            <w:tcW w:w="5377" w:type="dxa"/>
            <w:tcBorders>
              <w:top w:val="single" w:color="auto" w:sz="4" w:space="0"/>
              <w:left w:val="single" w:color="auto" w:sz="4" w:space="0"/>
              <w:bottom w:val="single" w:color="auto" w:sz="4" w:space="0"/>
              <w:right w:val="single" w:color="auto" w:sz="4" w:space="0"/>
            </w:tcBorders>
            <w:shd w:val="clear" w:color="auto" w:fill="auto"/>
            <w:vAlign w:val="center"/>
          </w:tcPr>
          <w:p w14:paraId="0AAF67A3">
            <w:pPr>
              <w:keepNext w:val="0"/>
              <w:keepLines w:val="0"/>
              <w:pageBreakBefore w:val="0"/>
              <w:widowControl/>
              <w:tabs>
                <w:tab w:val="right" w:pos="4869"/>
              </w:tabs>
              <w:kinsoku/>
              <w:wordWrap/>
              <w:overflowPunct/>
              <w:topLinePunct w:val="0"/>
              <w:autoSpaceDE/>
              <w:autoSpaceDN/>
              <w:bidi w:val="0"/>
              <w:adjustRightInd/>
              <w:snapToGrid/>
              <w:spacing w:line="300" w:lineRule="exact"/>
              <w:jc w:val="left"/>
              <w:textAlignment w:val="auto"/>
              <w:rPr>
                <w:rFonts w:ascii="Times New Roman" w:hAnsi="Times New Roman" w:eastAsiaTheme="minorEastAsia" w:cstheme="minorEastAsia"/>
                <w:b w:val="0"/>
                <w:color w:val="000000"/>
                <w:spacing w:val="0"/>
                <w:sz w:val="18"/>
                <w:szCs w:val="18"/>
              </w:rPr>
            </w:pPr>
            <w:r>
              <w:rPr>
                <w:rFonts w:hint="eastAsia" w:ascii="Times New Roman" w:hAnsi="Times New Roman" w:eastAsiaTheme="majorEastAsia" w:cstheme="majorEastAsia"/>
                <w:b w:val="0"/>
                <w:color w:val="000000"/>
                <w:spacing w:val="0"/>
                <w:sz w:val="18"/>
                <w:szCs w:val="18"/>
              </w:rPr>
              <w:t>正高级职称得</w:t>
            </w:r>
            <w:r>
              <w:rPr>
                <w:rFonts w:hint="eastAsia" w:ascii="Times New Roman" w:hAnsi="Times New Roman" w:eastAsiaTheme="majorEastAsia" w:cstheme="majorEastAsia"/>
                <w:b w:val="0"/>
                <w:color w:val="000000"/>
                <w:spacing w:val="0"/>
                <w:sz w:val="18"/>
                <w:szCs w:val="18"/>
                <w:lang w:val="en-US" w:eastAsia="zh-CN"/>
              </w:rPr>
              <w:t>10</w:t>
            </w:r>
            <w:r>
              <w:rPr>
                <w:rFonts w:hint="eastAsia" w:ascii="Times New Roman" w:hAnsi="Times New Roman" w:eastAsiaTheme="majorEastAsia" w:cstheme="majorEastAsia"/>
                <w:b w:val="0"/>
                <w:color w:val="000000"/>
                <w:spacing w:val="0"/>
                <w:sz w:val="18"/>
                <w:szCs w:val="18"/>
              </w:rPr>
              <w:t>分，</w:t>
            </w:r>
            <w:r>
              <w:rPr>
                <w:rFonts w:hint="eastAsia" w:ascii="Times New Roman" w:hAnsi="Times New Roman" w:eastAsia="宋体" w:cs="宋体"/>
                <w:b w:val="0"/>
                <w:color w:val="000000"/>
                <w:spacing w:val="0"/>
                <w:sz w:val="18"/>
                <w:szCs w:val="18"/>
                <w:lang w:eastAsia="zh-CN"/>
              </w:rPr>
              <w:t>副</w:t>
            </w:r>
            <w:r>
              <w:rPr>
                <w:rFonts w:hint="eastAsia" w:ascii="Times New Roman" w:hAnsi="Times New Roman" w:eastAsia="宋体" w:cs="宋体"/>
                <w:b w:val="0"/>
                <w:color w:val="000000"/>
                <w:spacing w:val="0"/>
                <w:sz w:val="18"/>
                <w:szCs w:val="18"/>
              </w:rPr>
              <w:t>高级职称得</w:t>
            </w:r>
            <w:r>
              <w:rPr>
                <w:rFonts w:hint="eastAsia" w:ascii="Times New Roman" w:hAnsi="Times New Roman" w:cs="宋体"/>
                <w:b w:val="0"/>
                <w:color w:val="000000"/>
                <w:spacing w:val="0"/>
                <w:sz w:val="18"/>
                <w:szCs w:val="18"/>
                <w:lang w:val="en-US" w:eastAsia="zh-CN"/>
              </w:rPr>
              <w:t>8</w:t>
            </w:r>
            <w:r>
              <w:rPr>
                <w:rFonts w:hint="eastAsia" w:ascii="Times New Roman" w:hAnsi="Times New Roman" w:eastAsia="宋体" w:cs="宋体"/>
                <w:b w:val="0"/>
                <w:color w:val="000000"/>
                <w:spacing w:val="0"/>
                <w:sz w:val="18"/>
                <w:szCs w:val="18"/>
              </w:rPr>
              <w:t>分，中级</w:t>
            </w:r>
            <w:r>
              <w:rPr>
                <w:rFonts w:hint="eastAsia" w:ascii="Times New Roman" w:hAnsi="Times New Roman" w:cs="宋体"/>
                <w:b w:val="0"/>
                <w:color w:val="000000"/>
                <w:spacing w:val="0"/>
                <w:sz w:val="18"/>
                <w:szCs w:val="18"/>
                <w:lang w:eastAsia="zh-CN"/>
              </w:rPr>
              <w:t>职称</w:t>
            </w:r>
            <w:r>
              <w:rPr>
                <w:rFonts w:hint="eastAsia" w:ascii="Times New Roman" w:hAnsi="Times New Roman" w:eastAsia="宋体" w:cs="宋体"/>
                <w:b w:val="0"/>
                <w:color w:val="000000"/>
                <w:spacing w:val="0"/>
                <w:sz w:val="18"/>
                <w:szCs w:val="18"/>
              </w:rPr>
              <w:t>得</w:t>
            </w:r>
            <w:r>
              <w:rPr>
                <w:rFonts w:hint="eastAsia" w:ascii="Times New Roman" w:hAnsi="Times New Roman" w:cs="宋体"/>
                <w:b w:val="0"/>
                <w:color w:val="000000"/>
                <w:spacing w:val="0"/>
                <w:sz w:val="18"/>
                <w:szCs w:val="18"/>
                <w:lang w:val="en-US" w:eastAsia="zh-CN"/>
              </w:rPr>
              <w:t>5</w:t>
            </w:r>
            <w:r>
              <w:rPr>
                <w:rFonts w:hint="eastAsia" w:ascii="Times New Roman" w:hAnsi="Times New Roman" w:eastAsia="宋体" w:cs="宋体"/>
                <w:b w:val="0"/>
                <w:color w:val="000000"/>
                <w:spacing w:val="0"/>
                <w:sz w:val="18"/>
                <w:szCs w:val="18"/>
              </w:rPr>
              <w:t>分。按所取得最高级职称计算，不累加计算。</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460291A">
            <w:pPr>
              <w:widowControl/>
              <w:jc w:val="center"/>
              <w:rPr>
                <w:rFonts w:ascii="Times New Roman" w:hAnsi="Times New Roman" w:cs="宋体"/>
                <w:b w:val="0"/>
                <w:color w:val="000000"/>
                <w:spacing w:val="0"/>
                <w:sz w:val="24"/>
                <w:szCs w:val="24"/>
              </w:rPr>
            </w:pPr>
            <w:r>
              <w:rPr>
                <w:rFonts w:hint="eastAsia" w:ascii="Times New Roman" w:hAnsi="Times New Roman" w:cs="宋体"/>
                <w:b w:val="0"/>
                <w:color w:val="000000"/>
                <w:spacing w:val="0"/>
                <w:sz w:val="24"/>
                <w:szCs w:val="24"/>
                <w:lang w:val="en-US" w:eastAsia="zh-CN"/>
              </w:rPr>
              <w:t>10</w:t>
            </w:r>
            <w:r>
              <w:rPr>
                <w:rFonts w:hint="eastAsia" w:ascii="Times New Roman" w:hAnsi="Times New Roman" w:cs="宋体"/>
                <w:b w:val="0"/>
                <w:color w:val="000000"/>
                <w:spacing w:val="0"/>
                <w:sz w:val="24"/>
                <w:szCs w:val="24"/>
              </w:rPr>
              <w:t>　</w:t>
            </w:r>
          </w:p>
        </w:tc>
        <w:tc>
          <w:tcPr>
            <w:tcW w:w="863" w:type="dxa"/>
            <w:tcBorders>
              <w:top w:val="single" w:color="auto" w:sz="4" w:space="0"/>
              <w:left w:val="single" w:color="auto" w:sz="4" w:space="0"/>
              <w:bottom w:val="single" w:color="auto" w:sz="4" w:space="0"/>
              <w:right w:val="single" w:color="auto" w:sz="4" w:space="0"/>
            </w:tcBorders>
            <w:shd w:val="clear" w:color="auto" w:fill="auto"/>
            <w:vAlign w:val="center"/>
          </w:tcPr>
          <w:p w14:paraId="1EB8CF29">
            <w:pPr>
              <w:widowControl/>
              <w:spacing w:line="240" w:lineRule="exact"/>
              <w:jc w:val="center"/>
              <w:rPr>
                <w:rFonts w:ascii="Times New Roman" w:hAnsi="Times New Roman" w:cs="宋体"/>
                <w:b w:val="0"/>
                <w:color w:val="FF0000"/>
                <w:spacing w:val="0"/>
                <w:sz w:val="21"/>
                <w:szCs w:val="21"/>
              </w:rPr>
            </w:pP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0449B7D3">
            <w:pPr>
              <w:widowControl/>
              <w:spacing w:line="240" w:lineRule="exact"/>
              <w:jc w:val="center"/>
              <w:rPr>
                <w:rFonts w:ascii="Times New Roman" w:hAnsi="Times New Roman" w:cs="宋体"/>
                <w:b w:val="0"/>
                <w:color w:val="FF0000"/>
                <w:spacing w:val="0"/>
                <w:sz w:val="21"/>
                <w:szCs w:val="21"/>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4F02E530">
            <w:pPr>
              <w:widowControl/>
              <w:spacing w:line="240" w:lineRule="exact"/>
              <w:jc w:val="center"/>
              <w:rPr>
                <w:rFonts w:ascii="Times New Roman" w:hAnsi="Times New Roman" w:cs="宋体"/>
                <w:b w:val="0"/>
                <w:color w:val="FF0000"/>
                <w:spacing w:val="0"/>
                <w:sz w:val="21"/>
                <w:szCs w:val="21"/>
              </w:rPr>
            </w:pP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00A63B8">
            <w:pPr>
              <w:widowControl/>
              <w:spacing w:line="240" w:lineRule="exact"/>
              <w:jc w:val="center"/>
              <w:rPr>
                <w:rFonts w:ascii="Times New Roman" w:hAnsi="Times New Roman" w:cs="宋体"/>
                <w:b w:val="0"/>
                <w:color w:val="FF0000"/>
                <w:spacing w:val="0"/>
                <w:sz w:val="21"/>
                <w:szCs w:val="21"/>
              </w:rPr>
            </w:pPr>
          </w:p>
        </w:tc>
      </w:tr>
      <w:tr w14:paraId="5FA41CE4">
        <w:tblPrEx>
          <w:tblCellMar>
            <w:top w:w="0" w:type="dxa"/>
            <w:left w:w="108" w:type="dxa"/>
            <w:bottom w:w="0" w:type="dxa"/>
            <w:right w:w="108" w:type="dxa"/>
          </w:tblCellMar>
        </w:tblPrEx>
        <w:trPr>
          <w:trHeight w:val="952" w:hRule="atLeast"/>
          <w:jc w:val="center"/>
        </w:trPr>
        <w:tc>
          <w:tcPr>
            <w:tcW w:w="739" w:type="dxa"/>
            <w:vMerge w:val="continue"/>
            <w:tcBorders>
              <w:left w:val="single" w:color="auto" w:sz="4" w:space="0"/>
              <w:bottom w:val="single" w:color="auto" w:sz="4" w:space="0"/>
              <w:right w:val="single" w:color="auto" w:sz="4" w:space="0"/>
            </w:tcBorders>
            <w:vAlign w:val="center"/>
          </w:tcPr>
          <w:p w14:paraId="4C1F05EF">
            <w:pPr>
              <w:widowControl/>
              <w:spacing w:line="240" w:lineRule="exact"/>
              <w:jc w:val="center"/>
              <w:rPr>
                <w:rFonts w:ascii="Times New Roman" w:hAnsi="Times New Roman" w:eastAsia="楷体_GB2312" w:cs="宋体"/>
                <w:b w:val="0"/>
                <w:color w:val="000000"/>
                <w:spacing w:val="0"/>
                <w:sz w:val="24"/>
                <w:szCs w:val="24"/>
              </w:rPr>
            </w:pPr>
          </w:p>
        </w:tc>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14:paraId="01D481FE">
            <w:pPr>
              <w:widowControl/>
              <w:spacing w:line="240" w:lineRule="exact"/>
              <w:jc w:val="center"/>
              <w:rPr>
                <w:rFonts w:ascii="Times New Roman" w:hAnsi="Times New Roman" w:eastAsia="楷体" w:cs="楷体"/>
                <w:b w:val="0"/>
                <w:color w:val="000000"/>
                <w:spacing w:val="0"/>
                <w:sz w:val="24"/>
                <w:szCs w:val="24"/>
              </w:rPr>
            </w:pPr>
            <w:r>
              <w:rPr>
                <w:rFonts w:hint="eastAsia" w:ascii="Times New Roman" w:hAnsi="Times New Roman" w:eastAsia="楷体" w:cs="楷体"/>
                <w:b w:val="0"/>
                <w:color w:val="000000"/>
                <w:spacing w:val="0"/>
                <w:sz w:val="24"/>
                <w:szCs w:val="24"/>
              </w:rPr>
              <w:t>获得奖项</w:t>
            </w:r>
          </w:p>
        </w:tc>
        <w:tc>
          <w:tcPr>
            <w:tcW w:w="5377" w:type="dxa"/>
            <w:tcBorders>
              <w:top w:val="single" w:color="auto" w:sz="4" w:space="0"/>
              <w:left w:val="single" w:color="auto" w:sz="4" w:space="0"/>
              <w:bottom w:val="single" w:color="auto" w:sz="4" w:space="0"/>
              <w:right w:val="single" w:color="auto" w:sz="4" w:space="0"/>
            </w:tcBorders>
            <w:shd w:val="clear" w:color="auto" w:fill="auto"/>
            <w:vAlign w:val="center"/>
          </w:tcPr>
          <w:p w14:paraId="43DC60EA">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Theme="minorEastAsia" w:cstheme="minorEastAsia"/>
                <w:b w:val="0"/>
                <w:color w:val="000000"/>
                <w:spacing w:val="-4"/>
                <w:sz w:val="18"/>
                <w:szCs w:val="18"/>
              </w:rPr>
            </w:pPr>
            <w:r>
              <w:rPr>
                <w:rFonts w:hint="eastAsia" w:ascii="Times New Roman" w:hAnsi="Times New Roman" w:eastAsiaTheme="minorEastAsia" w:cstheme="minorEastAsia"/>
                <w:b w:val="0"/>
                <w:color w:val="000000"/>
                <w:spacing w:val="-4"/>
                <w:sz w:val="18"/>
                <w:szCs w:val="18"/>
              </w:rPr>
              <w:t>获得国家级荣誉者每项得5分；获得国家部委和省级荣誉者每项得3分；获得市级荣誉者每项得1分。各项累加不超过</w:t>
            </w:r>
            <w:r>
              <w:rPr>
                <w:rFonts w:hint="eastAsia" w:ascii="Times New Roman" w:hAnsi="Times New Roman" w:eastAsiaTheme="minorEastAsia" w:cstheme="minorEastAsia"/>
                <w:b w:val="0"/>
                <w:color w:val="000000"/>
                <w:spacing w:val="-4"/>
                <w:sz w:val="18"/>
                <w:szCs w:val="18"/>
                <w:lang w:val="en-US" w:eastAsia="zh-CN"/>
              </w:rPr>
              <w:t>7</w:t>
            </w:r>
            <w:bookmarkStart w:id="0" w:name="_GoBack"/>
            <w:bookmarkEnd w:id="0"/>
            <w:r>
              <w:rPr>
                <w:rFonts w:hint="eastAsia" w:ascii="Times New Roman" w:hAnsi="Times New Roman" w:eastAsiaTheme="minorEastAsia" w:cstheme="minorEastAsia"/>
                <w:b w:val="0"/>
                <w:color w:val="000000"/>
                <w:spacing w:val="-4"/>
                <w:sz w:val="18"/>
                <w:szCs w:val="18"/>
              </w:rPr>
              <w:t>分。</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5A41414">
            <w:pPr>
              <w:widowControl/>
              <w:jc w:val="center"/>
              <w:rPr>
                <w:rFonts w:hint="eastAsia" w:ascii="Times New Roman" w:hAnsi="Times New Roman" w:eastAsia="宋体" w:cs="宋体"/>
                <w:b w:val="0"/>
                <w:color w:val="000000"/>
                <w:spacing w:val="0"/>
                <w:sz w:val="24"/>
                <w:szCs w:val="24"/>
                <w:lang w:eastAsia="zh-CN"/>
              </w:rPr>
            </w:pPr>
            <w:r>
              <w:rPr>
                <w:rFonts w:hint="eastAsia" w:ascii="Times New Roman" w:hAnsi="Times New Roman" w:cs="宋体"/>
                <w:b w:val="0"/>
                <w:color w:val="000000"/>
                <w:spacing w:val="0"/>
                <w:sz w:val="24"/>
                <w:szCs w:val="24"/>
                <w:lang w:val="en-US" w:eastAsia="zh-CN"/>
              </w:rPr>
              <w:t>7</w:t>
            </w:r>
          </w:p>
        </w:tc>
        <w:tc>
          <w:tcPr>
            <w:tcW w:w="863" w:type="dxa"/>
            <w:tcBorders>
              <w:top w:val="single" w:color="auto" w:sz="4" w:space="0"/>
              <w:left w:val="single" w:color="auto" w:sz="4" w:space="0"/>
              <w:bottom w:val="single" w:color="auto" w:sz="4" w:space="0"/>
              <w:right w:val="single" w:color="auto" w:sz="4" w:space="0"/>
            </w:tcBorders>
            <w:shd w:val="clear" w:color="auto" w:fill="auto"/>
            <w:vAlign w:val="center"/>
          </w:tcPr>
          <w:p w14:paraId="28DF5EC4">
            <w:pPr>
              <w:widowControl/>
              <w:spacing w:line="240" w:lineRule="exact"/>
              <w:jc w:val="center"/>
              <w:rPr>
                <w:rFonts w:ascii="Times New Roman" w:hAnsi="Times New Roman" w:cs="宋体"/>
                <w:b w:val="0"/>
                <w:color w:val="FF0000"/>
                <w:spacing w:val="0"/>
                <w:sz w:val="21"/>
                <w:szCs w:val="21"/>
              </w:rPr>
            </w:pP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2D483479">
            <w:pPr>
              <w:widowControl/>
              <w:spacing w:line="240" w:lineRule="exact"/>
              <w:jc w:val="center"/>
              <w:rPr>
                <w:rFonts w:ascii="Times New Roman" w:hAnsi="Times New Roman" w:cs="宋体"/>
                <w:b w:val="0"/>
                <w:color w:val="FF0000"/>
                <w:spacing w:val="0"/>
                <w:sz w:val="21"/>
                <w:szCs w:val="21"/>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805E9B6">
            <w:pPr>
              <w:widowControl/>
              <w:spacing w:line="240" w:lineRule="exact"/>
              <w:jc w:val="center"/>
              <w:rPr>
                <w:rFonts w:ascii="Times New Roman" w:hAnsi="Times New Roman" w:cs="宋体"/>
                <w:b w:val="0"/>
                <w:color w:val="FF0000"/>
                <w:spacing w:val="0"/>
                <w:sz w:val="21"/>
                <w:szCs w:val="21"/>
              </w:rPr>
            </w:pP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0A2CF3E">
            <w:pPr>
              <w:widowControl/>
              <w:spacing w:line="240" w:lineRule="exact"/>
              <w:jc w:val="center"/>
              <w:rPr>
                <w:rFonts w:ascii="Times New Roman" w:hAnsi="Times New Roman" w:cs="宋体"/>
                <w:b w:val="0"/>
                <w:color w:val="FF0000"/>
                <w:spacing w:val="0"/>
                <w:sz w:val="21"/>
                <w:szCs w:val="21"/>
              </w:rPr>
            </w:pPr>
          </w:p>
        </w:tc>
      </w:tr>
    </w:tbl>
    <w:p w14:paraId="1867E669">
      <w:pPr>
        <w:keepNext w:val="0"/>
        <w:keepLines w:val="0"/>
        <w:pageBreakBefore w:val="0"/>
        <w:kinsoku/>
        <w:wordWrap/>
        <w:overflowPunct/>
        <w:topLinePunct w:val="0"/>
        <w:autoSpaceDE/>
        <w:autoSpaceDN/>
        <w:bidi w:val="0"/>
        <w:adjustRightInd/>
        <w:snapToGrid/>
        <w:spacing w:line="260" w:lineRule="exact"/>
        <w:textAlignment w:val="auto"/>
        <w:rPr>
          <w:rFonts w:hint="eastAsia" w:ascii="Times New Roman" w:hAnsi="Times New Roman" w:eastAsia="仿宋_GB2312"/>
          <w:b/>
          <w:bCs/>
          <w:sz w:val="21"/>
          <w:szCs w:val="21"/>
        </w:rPr>
      </w:pPr>
      <w:r>
        <w:rPr>
          <w:rFonts w:hint="eastAsia" w:ascii="Times New Roman" w:hAnsi="Times New Roman" w:eastAsia="仿宋_GB2312"/>
          <w:b/>
          <w:bCs/>
          <w:sz w:val="21"/>
          <w:szCs w:val="21"/>
        </w:rPr>
        <w:t>考生承诺:</w:t>
      </w:r>
    </w:p>
    <w:p w14:paraId="4C1FFD27">
      <w:pPr>
        <w:keepNext w:val="0"/>
        <w:keepLines w:val="0"/>
        <w:pageBreakBefore w:val="0"/>
        <w:kinsoku/>
        <w:wordWrap/>
        <w:overflowPunct/>
        <w:topLinePunct w:val="0"/>
        <w:autoSpaceDE/>
        <w:autoSpaceDN/>
        <w:bidi w:val="0"/>
        <w:adjustRightInd/>
        <w:snapToGrid/>
        <w:spacing w:line="260" w:lineRule="exact"/>
        <w:ind w:firstLine="340"/>
        <w:textAlignment w:val="auto"/>
        <w:rPr>
          <w:rFonts w:hint="eastAsia" w:ascii="Times New Roman" w:hAnsi="Times New Roman" w:eastAsia="仿宋_GB2312"/>
          <w:b/>
          <w:bCs/>
          <w:sz w:val="21"/>
          <w:szCs w:val="21"/>
        </w:rPr>
      </w:pPr>
      <w:r>
        <w:rPr>
          <w:rFonts w:hint="eastAsia" w:ascii="Times New Roman" w:hAnsi="Times New Roman" w:eastAsia="仿宋_GB2312"/>
          <w:b/>
          <w:bCs/>
          <w:sz w:val="21"/>
          <w:szCs w:val="21"/>
        </w:rPr>
        <w:t>本表所填写的信息应真实准确无误，提交的证书、证件和照片</w:t>
      </w:r>
      <w:r>
        <w:rPr>
          <w:rFonts w:hint="eastAsia" w:ascii="Times New Roman" w:hAnsi="Times New Roman" w:eastAsia="仿宋_GB2312"/>
          <w:b/>
          <w:bCs/>
          <w:sz w:val="21"/>
          <w:szCs w:val="21"/>
          <w:lang w:eastAsia="zh-CN"/>
        </w:rPr>
        <w:t>及相关佐证材料</w:t>
      </w:r>
      <w:r>
        <w:rPr>
          <w:rFonts w:hint="eastAsia" w:ascii="Times New Roman" w:hAnsi="Times New Roman" w:eastAsia="仿宋_GB2312"/>
          <w:b/>
          <w:bCs/>
          <w:sz w:val="21"/>
          <w:szCs w:val="21"/>
        </w:rPr>
        <w:t>真实有效，无隐瞒、虚假等行为；若有一项虚假的，人才评价按0分计算</w:t>
      </w:r>
      <w:r>
        <w:rPr>
          <w:rFonts w:hint="eastAsia" w:ascii="Times New Roman" w:hAnsi="Times New Roman" w:eastAsia="仿宋_GB2312"/>
          <w:b/>
          <w:bCs/>
          <w:sz w:val="21"/>
          <w:szCs w:val="21"/>
          <w:lang w:eastAsia="zh-CN"/>
        </w:rPr>
        <w:t>，取消引进资格</w:t>
      </w:r>
      <w:r>
        <w:rPr>
          <w:rFonts w:hint="eastAsia" w:ascii="Times New Roman" w:hAnsi="Times New Roman" w:eastAsia="仿宋_GB2312"/>
          <w:b/>
          <w:bCs/>
          <w:sz w:val="21"/>
          <w:szCs w:val="21"/>
        </w:rPr>
        <w:t>。本人愿承担一切责任。</w:t>
      </w:r>
    </w:p>
    <w:p w14:paraId="23FA9FCA">
      <w:pPr>
        <w:keepNext w:val="0"/>
        <w:keepLines w:val="0"/>
        <w:pageBreakBefore w:val="0"/>
        <w:kinsoku/>
        <w:wordWrap/>
        <w:overflowPunct/>
        <w:topLinePunct w:val="0"/>
        <w:autoSpaceDE/>
        <w:autoSpaceDN/>
        <w:bidi w:val="0"/>
        <w:adjustRightInd/>
        <w:snapToGrid/>
        <w:spacing w:line="260" w:lineRule="exact"/>
        <w:textAlignment w:val="auto"/>
        <w:rPr>
          <w:rFonts w:hint="eastAsia" w:ascii="Times New Roman" w:hAnsi="Times New Roman" w:eastAsia="仿宋_GB2312"/>
          <w:b w:val="0"/>
          <w:sz w:val="21"/>
          <w:szCs w:val="21"/>
          <w:lang w:val="en-US" w:eastAsia="zh-CN"/>
        </w:rPr>
      </w:pPr>
      <w:r>
        <w:rPr>
          <w:rFonts w:hint="eastAsia" w:ascii="Times New Roman" w:hAnsi="Times New Roman" w:eastAsia="仿宋_GB2312"/>
          <w:b w:val="0"/>
          <w:sz w:val="21"/>
          <w:szCs w:val="21"/>
          <w:lang w:eastAsia="zh-CN"/>
        </w:rPr>
        <w:t>身份证号码：</w:t>
      </w:r>
      <w:r>
        <w:rPr>
          <w:rFonts w:hint="eastAsia" w:ascii="Times New Roman" w:hAnsi="Times New Roman" w:eastAsia="仿宋_GB2312"/>
          <w:b w:val="0"/>
          <w:sz w:val="21"/>
          <w:szCs w:val="21"/>
          <w:lang w:val="en-US" w:eastAsia="zh-CN"/>
        </w:rPr>
        <w:t xml:space="preserve">               本人签字（捺印）：                        年   月   日</w:t>
      </w:r>
    </w:p>
    <w:p w14:paraId="6C79FEE0">
      <w:pPr>
        <w:spacing w:line="600" w:lineRule="exact"/>
        <w:jc w:val="center"/>
        <w:rPr>
          <w:rFonts w:hint="eastAsia" w:ascii="Times New Roman" w:hAnsi="Times New Roman" w:eastAsia="方正小标宋简体"/>
          <w:sz w:val="44"/>
          <w:szCs w:val="44"/>
          <w:lang w:eastAsia="zh-CN"/>
        </w:rPr>
      </w:pPr>
      <w:r>
        <w:rPr>
          <w:rFonts w:hint="eastAsia" w:ascii="Times New Roman" w:hAnsi="Times New Roman" w:eastAsia="方正小标宋简体"/>
          <w:sz w:val="44"/>
          <w:szCs w:val="44"/>
          <w:lang w:eastAsia="zh-CN"/>
        </w:rPr>
        <w:t>通辽经济技术开发区事业单位急需紧缺人才引进</w:t>
      </w:r>
    </w:p>
    <w:p w14:paraId="76F84C2D">
      <w:pPr>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lang w:eastAsia="zh-CN"/>
        </w:rPr>
        <w:t>（开发区本级）评价表</w:t>
      </w:r>
      <w:r>
        <w:rPr>
          <w:rFonts w:hint="eastAsia" w:ascii="Times New Roman" w:hAnsi="Times New Roman" w:eastAsia="方正小标宋简体"/>
          <w:sz w:val="44"/>
          <w:szCs w:val="44"/>
        </w:rPr>
        <w:t>填报说明</w:t>
      </w:r>
    </w:p>
    <w:p w14:paraId="746EF68A">
      <w:pPr>
        <w:spacing w:line="600" w:lineRule="exact"/>
        <w:ind w:firstLine="603" w:firstLineChars="200"/>
        <w:rPr>
          <w:rFonts w:ascii="Times New Roman" w:hAnsi="Times New Roman" w:eastAsia="楷体_GB2312"/>
          <w:sz w:val="32"/>
          <w:szCs w:val="32"/>
        </w:rPr>
      </w:pPr>
    </w:p>
    <w:p w14:paraId="2F8B9950">
      <w:pPr>
        <w:spacing w:line="560" w:lineRule="exact"/>
        <w:ind w:firstLine="603" w:firstLineChars="200"/>
        <w:rPr>
          <w:rFonts w:ascii="Times New Roman" w:hAnsi="Times New Roman" w:eastAsia="黑体" w:cs="黑体"/>
          <w:sz w:val="32"/>
          <w:szCs w:val="32"/>
        </w:rPr>
      </w:pPr>
      <w:r>
        <w:rPr>
          <w:rFonts w:hint="eastAsia" w:ascii="Times New Roman" w:hAnsi="Times New Roman" w:eastAsia="黑体" w:cs="黑体"/>
          <w:sz w:val="32"/>
          <w:szCs w:val="32"/>
        </w:rPr>
        <w:t>一、专业层次方面</w:t>
      </w:r>
    </w:p>
    <w:p w14:paraId="7B8DC278">
      <w:pPr>
        <w:spacing w:line="560" w:lineRule="exact"/>
        <w:ind w:firstLine="600" w:firstLineChars="200"/>
        <w:rPr>
          <w:rFonts w:hint="eastAsia" w:ascii="Times New Roman" w:hAnsi="Times New Roman" w:eastAsia="方正仿宋简体" w:cs="方正仿宋简体"/>
          <w:b w:val="0"/>
          <w:bCs/>
          <w:sz w:val="32"/>
          <w:szCs w:val="32"/>
        </w:rPr>
      </w:pPr>
      <w:r>
        <w:rPr>
          <w:rFonts w:hint="eastAsia" w:ascii="Times New Roman" w:hAnsi="Times New Roman" w:eastAsia="方正仿宋简体" w:cs="方正仿宋简体"/>
          <w:b w:val="0"/>
          <w:bCs/>
          <w:sz w:val="32"/>
          <w:szCs w:val="32"/>
        </w:rPr>
        <w:t>（一）A类、B类高校和一流学科目录，以《教育部、财政部、国家发展改革委关于公布世界一流大学和一流学科建设高校及建设学科名单的通知》（教研函〔2017〕2号）《教育部、财政部、国家发展改革委关于公布第二轮“双一流”建设高校及建设学科名单的通知》（教研函〔2022〕1号）为准。</w:t>
      </w:r>
    </w:p>
    <w:p w14:paraId="664A4439">
      <w:pPr>
        <w:spacing w:line="560" w:lineRule="exact"/>
        <w:ind w:firstLine="600" w:firstLineChars="200"/>
        <w:rPr>
          <w:rFonts w:hint="eastAsia" w:ascii="Times New Roman" w:hAnsi="Times New Roman" w:eastAsia="方正仿宋简体" w:cs="方正仿宋简体"/>
          <w:b w:val="0"/>
          <w:bCs/>
          <w:sz w:val="32"/>
          <w:szCs w:val="32"/>
        </w:rPr>
      </w:pPr>
      <w:r>
        <w:rPr>
          <w:rFonts w:hint="eastAsia" w:ascii="Times New Roman" w:hAnsi="Times New Roman" w:eastAsia="方正仿宋简体" w:cs="方正仿宋简体"/>
          <w:b w:val="0"/>
          <w:bCs/>
          <w:sz w:val="32"/>
          <w:szCs w:val="32"/>
        </w:rPr>
        <w:t>（二）在一流学科认定上，所学专业须属该学科内专业。</w:t>
      </w:r>
    </w:p>
    <w:p w14:paraId="01B3155D">
      <w:pPr>
        <w:spacing w:line="560" w:lineRule="exact"/>
        <w:ind w:firstLine="600" w:firstLineChars="200"/>
        <w:rPr>
          <w:rFonts w:hint="eastAsia" w:ascii="Times New Roman" w:hAnsi="Times New Roman" w:eastAsia="方正仿宋简体" w:cs="方正仿宋简体"/>
          <w:b w:val="0"/>
          <w:bCs/>
          <w:sz w:val="32"/>
          <w:szCs w:val="32"/>
        </w:rPr>
      </w:pPr>
      <w:r>
        <w:rPr>
          <w:rFonts w:hint="eastAsia" w:ascii="Times New Roman" w:hAnsi="Times New Roman" w:eastAsia="方正仿宋简体" w:cs="方正仿宋简体"/>
          <w:b w:val="0"/>
          <w:bCs/>
          <w:sz w:val="32"/>
          <w:szCs w:val="32"/>
        </w:rPr>
        <w:t>（三）海外学历学校排名以2023、2024年度世界综合排名（英国QS世界大学排名、泰晤士高等教育世界大学排名、《美国新闻与世界报道》世界大学排名、软科世界大学学术排名之一）为准。</w:t>
      </w:r>
    </w:p>
    <w:p w14:paraId="37CCBCEC">
      <w:pPr>
        <w:spacing w:line="560" w:lineRule="exact"/>
        <w:ind w:firstLine="600" w:firstLineChars="200"/>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b w:val="0"/>
          <w:bCs/>
          <w:sz w:val="32"/>
          <w:szCs w:val="32"/>
          <w:lang w:val="en-US" w:eastAsia="zh-CN"/>
        </w:rPr>
        <w:t>（四）硕士研究生需完整填报本科阶段和硕士研究生阶段赋分</w:t>
      </w:r>
      <w:r>
        <w:rPr>
          <w:rFonts w:hint="eastAsia" w:ascii="Times New Roman" w:hAnsi="Times New Roman" w:eastAsia="方正仿宋简体" w:cs="方正仿宋简体"/>
          <w:sz w:val="32"/>
          <w:szCs w:val="32"/>
          <w:lang w:val="en-US" w:eastAsia="zh-CN"/>
        </w:rPr>
        <w:t>。</w:t>
      </w:r>
    </w:p>
    <w:p w14:paraId="5B169881">
      <w:pPr>
        <w:numPr>
          <w:ilvl w:val="0"/>
          <w:numId w:val="0"/>
        </w:numPr>
        <w:spacing w:line="560" w:lineRule="exact"/>
        <w:ind w:firstLine="603" w:firstLineChars="200"/>
        <w:rPr>
          <w:rFonts w:ascii="Times New Roman" w:hAnsi="Times New Roman" w:eastAsia="黑体" w:cs="黑体"/>
          <w:sz w:val="32"/>
          <w:szCs w:val="32"/>
        </w:rPr>
      </w:pPr>
      <w:r>
        <w:rPr>
          <w:rFonts w:hint="eastAsia" w:ascii="Times New Roman" w:hAnsi="Times New Roman" w:eastAsia="黑体" w:cs="黑体"/>
          <w:sz w:val="32"/>
          <w:szCs w:val="32"/>
        </w:rPr>
        <w:t>二、</w:t>
      </w:r>
      <w:r>
        <w:rPr>
          <w:rFonts w:hint="eastAsia" w:ascii="Times New Roman" w:hAnsi="Times New Roman" w:eastAsia="黑体" w:cs="黑体"/>
          <w:sz w:val="32"/>
          <w:szCs w:val="32"/>
          <w:lang w:eastAsia="zh-CN"/>
        </w:rPr>
        <w:t>科研</w:t>
      </w:r>
      <w:r>
        <w:rPr>
          <w:rFonts w:hint="eastAsia" w:ascii="Times New Roman" w:hAnsi="Times New Roman" w:eastAsia="黑体" w:cs="黑体"/>
          <w:sz w:val="32"/>
          <w:szCs w:val="32"/>
        </w:rPr>
        <w:t>成果方面</w:t>
      </w:r>
    </w:p>
    <w:p w14:paraId="086FED38">
      <w:pPr>
        <w:spacing w:line="560" w:lineRule="exact"/>
        <w:ind w:firstLine="600" w:firstLineChars="200"/>
        <w:rPr>
          <w:rFonts w:hint="eastAsia" w:ascii="Times New Roman" w:hAnsi="Times New Roman" w:eastAsia="方正仿宋简体" w:cs="方正仿宋简体"/>
          <w:b w:val="0"/>
          <w:bCs/>
          <w:sz w:val="32"/>
          <w:szCs w:val="32"/>
        </w:rPr>
      </w:pPr>
      <w:r>
        <w:rPr>
          <w:rFonts w:hint="eastAsia" w:ascii="Times New Roman" w:hAnsi="Times New Roman" w:eastAsia="方正仿宋简体" w:cs="方正仿宋简体"/>
          <w:b w:val="0"/>
          <w:bCs/>
          <w:sz w:val="32"/>
          <w:szCs w:val="32"/>
        </w:rPr>
        <w:t>需提供检索页、扫描文本、</w:t>
      </w:r>
      <w:r>
        <w:rPr>
          <w:rFonts w:hint="eastAsia" w:ascii="Times New Roman" w:hAnsi="Times New Roman" w:eastAsia="方正仿宋简体" w:cs="方正仿宋简体"/>
          <w:b w:val="0"/>
          <w:bCs/>
          <w:sz w:val="32"/>
          <w:szCs w:val="32"/>
          <w:lang w:eastAsia="zh-CN"/>
        </w:rPr>
        <w:t>文献检索报告、</w:t>
      </w:r>
      <w:r>
        <w:rPr>
          <w:rFonts w:hint="eastAsia" w:ascii="Times New Roman" w:hAnsi="Times New Roman" w:eastAsia="方正仿宋简体" w:cs="方正仿宋简体"/>
          <w:b w:val="0"/>
          <w:bCs/>
          <w:sz w:val="32"/>
          <w:szCs w:val="32"/>
        </w:rPr>
        <w:t>作品文件、专利证书等材料</w:t>
      </w:r>
      <w:r>
        <w:rPr>
          <w:rFonts w:hint="eastAsia" w:ascii="Times New Roman" w:hAnsi="Times New Roman" w:eastAsia="方正仿宋简体" w:cs="方正仿宋简体"/>
          <w:b w:val="0"/>
          <w:bCs/>
          <w:sz w:val="32"/>
          <w:szCs w:val="32"/>
          <w:lang w:eastAsia="zh-CN"/>
        </w:rPr>
        <w:t>。</w:t>
      </w:r>
      <w:r>
        <w:rPr>
          <w:rFonts w:hint="eastAsia" w:ascii="Times New Roman" w:hAnsi="Times New Roman" w:eastAsia="方正仿宋简体" w:cs="方正仿宋简体"/>
          <w:b w:val="0"/>
          <w:bCs/>
          <w:sz w:val="32"/>
          <w:szCs w:val="32"/>
          <w:lang w:val="en-US" w:eastAsia="zh-CN"/>
        </w:rPr>
        <w:t>首次报道类文章不作为学术论文计分，实用新</w:t>
      </w:r>
      <w:r>
        <w:rPr>
          <w:rFonts w:hint="eastAsia" w:ascii="Times New Roman" w:hAnsi="Times New Roman" w:eastAsia="方正仿宋简体" w:cs="方正仿宋简体"/>
          <w:b w:val="0"/>
          <w:bCs/>
          <w:sz w:val="32"/>
          <w:szCs w:val="32"/>
          <w:highlight w:val="none"/>
        </w:rPr>
        <w:t>型、外观设计专利不得分。</w:t>
      </w:r>
    </w:p>
    <w:p w14:paraId="06C2642C">
      <w:pPr>
        <w:spacing w:line="560" w:lineRule="exact"/>
        <w:ind w:firstLine="603" w:firstLineChars="200"/>
        <w:rPr>
          <w:rFonts w:hint="eastAsia" w:ascii="Times New Roman" w:hAnsi="Times New Roman" w:eastAsia="仿宋_GB2312"/>
          <w:color w:val="auto"/>
          <w:sz w:val="32"/>
          <w:szCs w:val="32"/>
          <w:highlight w:val="none"/>
        </w:rPr>
      </w:pPr>
      <w:r>
        <w:rPr>
          <w:rFonts w:hint="eastAsia" w:ascii="Times New Roman" w:hAnsi="Times New Roman" w:eastAsia="黑体" w:cs="黑体"/>
          <w:sz w:val="32"/>
          <w:szCs w:val="32"/>
          <w:lang w:eastAsia="zh-CN"/>
        </w:rPr>
        <w:t>三</w:t>
      </w:r>
      <w:r>
        <w:rPr>
          <w:rFonts w:hint="eastAsia" w:ascii="Times New Roman" w:hAnsi="Times New Roman" w:eastAsia="黑体" w:cs="黑体"/>
          <w:sz w:val="32"/>
          <w:szCs w:val="32"/>
        </w:rPr>
        <w:t>、</w:t>
      </w:r>
      <w:r>
        <w:rPr>
          <w:rFonts w:hint="eastAsia" w:ascii="Times New Roman" w:hAnsi="Times New Roman" w:eastAsia="黑体" w:cs="黑体"/>
          <w:color w:val="auto"/>
          <w:sz w:val="32"/>
          <w:szCs w:val="32"/>
          <w:highlight w:val="none"/>
        </w:rPr>
        <w:t>职业资格方面</w:t>
      </w:r>
    </w:p>
    <w:p w14:paraId="44547B1B">
      <w:pPr>
        <w:spacing w:line="560" w:lineRule="exact"/>
        <w:ind w:firstLine="600" w:firstLineChars="200"/>
        <w:rPr>
          <w:rFonts w:hint="eastAsia" w:ascii="Times New Roman" w:hAnsi="Times New Roman" w:eastAsia="方正仿宋简体" w:cs="方正仿宋简体"/>
          <w:b w:val="0"/>
          <w:bCs/>
          <w:color w:val="auto"/>
          <w:sz w:val="32"/>
          <w:szCs w:val="32"/>
          <w:highlight w:val="none"/>
        </w:rPr>
      </w:pPr>
      <w:r>
        <w:rPr>
          <w:rFonts w:hint="eastAsia" w:ascii="Times New Roman" w:hAnsi="Times New Roman" w:eastAsia="方正仿宋简体" w:cs="方正仿宋简体"/>
          <w:b w:val="0"/>
          <w:bCs/>
          <w:color w:val="auto"/>
          <w:sz w:val="32"/>
          <w:szCs w:val="32"/>
          <w:highlight w:val="none"/>
        </w:rPr>
        <w:t>（一）需提供职业资格证原件及复印件，并可在职业技能证书全国联网查询系统中查询。</w:t>
      </w:r>
    </w:p>
    <w:p w14:paraId="09E8C1FA">
      <w:pPr>
        <w:spacing w:line="560" w:lineRule="exact"/>
        <w:ind w:firstLine="600" w:firstLineChars="200"/>
        <w:rPr>
          <w:rFonts w:hint="eastAsia" w:ascii="Times New Roman" w:hAnsi="Times New Roman" w:eastAsia="方正仿宋简体" w:cs="方正仿宋简体"/>
          <w:b w:val="0"/>
          <w:bCs/>
          <w:color w:val="auto"/>
          <w:sz w:val="32"/>
          <w:szCs w:val="32"/>
          <w:highlight w:val="none"/>
        </w:rPr>
      </w:pPr>
      <w:r>
        <w:rPr>
          <w:rFonts w:hint="eastAsia" w:ascii="Times New Roman" w:hAnsi="Times New Roman" w:eastAsia="方正仿宋简体" w:cs="方正仿宋简体"/>
          <w:b w:val="0"/>
          <w:bCs/>
          <w:color w:val="auto"/>
          <w:sz w:val="32"/>
          <w:szCs w:val="32"/>
          <w:highlight w:val="none"/>
        </w:rPr>
        <w:t>（二）可按照级别划分的准入类专业技术人员职业资格，如：取得法律职业资格A证得</w:t>
      </w:r>
      <w:r>
        <w:rPr>
          <w:rFonts w:hint="eastAsia" w:ascii="Times New Roman" w:hAnsi="Times New Roman" w:eastAsia="方正仿宋简体" w:cs="方正仿宋简体"/>
          <w:b w:val="0"/>
          <w:bCs/>
          <w:color w:val="auto"/>
          <w:sz w:val="32"/>
          <w:szCs w:val="32"/>
          <w:highlight w:val="none"/>
          <w:lang w:val="en-US" w:eastAsia="zh-CN"/>
        </w:rPr>
        <w:t>5</w:t>
      </w:r>
      <w:r>
        <w:rPr>
          <w:rFonts w:hint="eastAsia" w:ascii="Times New Roman" w:hAnsi="Times New Roman" w:eastAsia="方正仿宋简体" w:cs="方正仿宋简体"/>
          <w:b w:val="0"/>
          <w:bCs/>
          <w:color w:val="auto"/>
          <w:sz w:val="32"/>
          <w:szCs w:val="32"/>
          <w:highlight w:val="none"/>
        </w:rPr>
        <w:t>分。</w:t>
      </w:r>
    </w:p>
    <w:p w14:paraId="5C117688">
      <w:pPr>
        <w:spacing w:line="540" w:lineRule="exact"/>
        <w:ind w:firstLine="600" w:firstLineChars="200"/>
        <w:rPr>
          <w:rFonts w:hint="eastAsia" w:ascii="Times New Roman" w:hAnsi="Times New Roman" w:eastAsia="方正仿宋简体" w:cs="方正仿宋简体"/>
          <w:b w:val="0"/>
          <w:bCs/>
          <w:sz w:val="32"/>
          <w:szCs w:val="32"/>
        </w:rPr>
      </w:pPr>
      <w:r>
        <w:rPr>
          <w:rFonts w:hint="eastAsia" w:ascii="Times New Roman" w:hAnsi="Times New Roman" w:eastAsia="方正仿宋简体" w:cs="方正仿宋简体"/>
          <w:b w:val="0"/>
          <w:bCs/>
          <w:color w:val="auto"/>
          <w:sz w:val="32"/>
          <w:szCs w:val="32"/>
          <w:highlight w:val="none"/>
        </w:rPr>
        <w:t>（三）关于专业技术人员职业资</w:t>
      </w:r>
      <w:r>
        <w:rPr>
          <w:rFonts w:hint="eastAsia" w:ascii="Times New Roman" w:hAnsi="Times New Roman" w:eastAsia="方正仿宋简体" w:cs="方正仿宋简体"/>
          <w:b w:val="0"/>
          <w:bCs/>
          <w:sz w:val="32"/>
          <w:szCs w:val="32"/>
        </w:rPr>
        <w:t>格及职业资格与职称对应关系认定以《国家职业资格目录》及内蒙古自治区人社厅《2020年关于更新公布专业技术类职业资格与职称对应关系表的说明》为准。</w:t>
      </w:r>
    </w:p>
    <w:p w14:paraId="350E8C35">
      <w:pPr>
        <w:spacing w:line="540" w:lineRule="exact"/>
        <w:ind w:firstLine="600" w:firstLineChars="200"/>
        <w:rPr>
          <w:rFonts w:hint="eastAsia" w:ascii="Times New Roman" w:hAnsi="Times New Roman" w:eastAsia="方正仿宋简体" w:cs="方正仿宋简体"/>
          <w:b w:val="0"/>
          <w:bCs/>
          <w:sz w:val="32"/>
          <w:szCs w:val="32"/>
        </w:rPr>
      </w:pPr>
      <w:r>
        <w:rPr>
          <w:rFonts w:hint="eastAsia" w:ascii="Times New Roman" w:hAnsi="Times New Roman" w:eastAsia="方正仿宋简体" w:cs="方正仿宋简体"/>
          <w:b w:val="0"/>
          <w:bCs/>
          <w:sz w:val="32"/>
          <w:szCs w:val="32"/>
        </w:rPr>
        <w:t>可对应至中级职称的专业技术类职业资格为：房地产估价师、一级造价工程师、执业药师、注册安全工程师、注册核安全工程师、一级注册计量师、</w:t>
      </w:r>
      <w:r>
        <w:rPr>
          <w:rFonts w:hint="eastAsia" w:ascii="Times New Roman" w:hAnsi="Times New Roman" w:eastAsia="方正仿宋简体" w:cs="方正仿宋简体"/>
          <w:b w:val="0"/>
          <w:bCs/>
          <w:sz w:val="32"/>
          <w:szCs w:val="32"/>
          <w:highlight w:val="none"/>
        </w:rPr>
        <w:t>注册测绘师、一级注册消防工程师、注册城乡规划师（原注册城市规划师）、注册公用设备工程师、注册电气工程师、注册化工工程师、注册土木工程师(港航)、注册土木工程师(岩土)、注册土木工程师(水利水电)、注册土木工程师(道路工程)、注册石油天然气工程师、注册冶金工程师、注册采矿/矿物工程师、注册机械工程师、注册环保工程师、一级注册</w:t>
      </w:r>
      <w:r>
        <w:rPr>
          <w:rFonts w:hint="eastAsia" w:ascii="Times New Roman" w:hAnsi="Times New Roman" w:eastAsia="方正仿宋简体" w:cs="方正仿宋简体"/>
          <w:b w:val="0"/>
          <w:bCs/>
          <w:sz w:val="32"/>
          <w:szCs w:val="32"/>
        </w:rPr>
        <w:t>结构工程师、一级注册建筑师、一级注册建造师、监理工程师、注册设备监理师、注册会计师、编辑（技术编辑或一级校对）、二级口译、笔译翻译、计算机软件与技术（中级工程师、高级工程师）、环境影响评价工程师、通信工程师、机动车检测维修工程师、社会工作师、房地产经纪（原房地产经纪人）、公路水运工程试验检测师、银行业专业人员（中级）、工程咨询(投资)、矿业权评估师、土地登记代理（原土地登记代理人）、税务师（原注册税务师）、资产评估师（含珠宝专业）、会计师、审计师、统计师、经济师、主治（管）医师、主管药师、主管技师、主管护师。</w:t>
      </w:r>
    </w:p>
    <w:p w14:paraId="1D7498AA">
      <w:pPr>
        <w:spacing w:line="560" w:lineRule="exact"/>
        <w:ind w:firstLine="603" w:firstLineChars="200"/>
        <w:rPr>
          <w:rFonts w:ascii="Times New Roman" w:hAnsi="Times New Roman" w:eastAsia="黑体" w:cs="黑体"/>
          <w:sz w:val="32"/>
          <w:szCs w:val="32"/>
        </w:rPr>
      </w:pPr>
      <w:r>
        <w:rPr>
          <w:rFonts w:hint="eastAsia" w:ascii="Times New Roman" w:hAnsi="Times New Roman" w:eastAsia="黑体" w:cs="黑体"/>
          <w:sz w:val="32"/>
          <w:szCs w:val="32"/>
          <w:lang w:eastAsia="zh-CN"/>
        </w:rPr>
        <w:t>四、</w:t>
      </w:r>
      <w:r>
        <w:rPr>
          <w:rFonts w:hint="eastAsia" w:ascii="Times New Roman" w:hAnsi="Times New Roman" w:eastAsia="黑体" w:cs="黑体"/>
          <w:sz w:val="32"/>
          <w:szCs w:val="32"/>
        </w:rPr>
        <w:t>专业技术职称方面</w:t>
      </w:r>
    </w:p>
    <w:p w14:paraId="4D5765AE">
      <w:pPr>
        <w:spacing w:line="560" w:lineRule="exact"/>
        <w:ind w:firstLine="600" w:firstLineChars="200"/>
        <w:rPr>
          <w:rFonts w:hint="eastAsia" w:ascii="Times New Roman" w:hAnsi="Times New Roman" w:eastAsia="方正仿宋简体" w:cs="方正仿宋简体"/>
          <w:b w:val="0"/>
          <w:bCs/>
          <w:sz w:val="32"/>
          <w:szCs w:val="32"/>
          <w:lang w:eastAsia="zh-CN"/>
        </w:rPr>
      </w:pPr>
      <w:r>
        <w:rPr>
          <w:rFonts w:hint="eastAsia" w:ascii="Times New Roman" w:hAnsi="Times New Roman" w:eastAsia="方正仿宋简体" w:cs="方正仿宋简体"/>
          <w:b w:val="0"/>
          <w:bCs/>
          <w:sz w:val="32"/>
          <w:szCs w:val="32"/>
        </w:rPr>
        <w:t>（一）要求为社会化专业技术职称</w:t>
      </w:r>
      <w:r>
        <w:rPr>
          <w:rFonts w:hint="eastAsia" w:ascii="Times New Roman" w:hAnsi="Times New Roman" w:eastAsia="方正仿宋简体" w:cs="方正仿宋简体"/>
          <w:b w:val="0"/>
          <w:bCs/>
          <w:sz w:val="32"/>
          <w:szCs w:val="32"/>
          <w:lang w:eastAsia="zh-CN"/>
        </w:rPr>
        <w:t>。</w:t>
      </w:r>
    </w:p>
    <w:p w14:paraId="7E0E115B">
      <w:pPr>
        <w:spacing w:line="560" w:lineRule="exact"/>
        <w:ind w:firstLine="600" w:firstLineChars="200"/>
        <w:rPr>
          <w:rFonts w:hint="eastAsia" w:ascii="Times New Roman" w:hAnsi="Times New Roman" w:eastAsia="仿宋_GB2312"/>
          <w:b w:val="0"/>
          <w:bCs/>
          <w:sz w:val="32"/>
          <w:szCs w:val="32"/>
        </w:rPr>
      </w:pPr>
      <w:r>
        <w:rPr>
          <w:rFonts w:hint="eastAsia" w:ascii="Times New Roman" w:hAnsi="Times New Roman" w:eastAsia="方正仿宋简体" w:cs="方正仿宋简体"/>
          <w:b w:val="0"/>
          <w:bCs/>
          <w:sz w:val="32"/>
          <w:szCs w:val="32"/>
        </w:rPr>
        <w:t>（二）需提供职称证，并可在相应查询系统中查询。</w:t>
      </w:r>
    </w:p>
    <w:p w14:paraId="50C43BE2">
      <w:pPr>
        <w:spacing w:line="560" w:lineRule="exact"/>
        <w:ind w:firstLine="603" w:firstLineChars="200"/>
        <w:rPr>
          <w:rFonts w:ascii="Times New Roman" w:hAnsi="Times New Roman" w:eastAsia="黑体" w:cs="黑体"/>
          <w:sz w:val="32"/>
          <w:szCs w:val="32"/>
        </w:rPr>
      </w:pPr>
      <w:r>
        <w:rPr>
          <w:rFonts w:hint="eastAsia" w:ascii="Times New Roman" w:hAnsi="Times New Roman" w:eastAsia="黑体" w:cs="黑体"/>
          <w:color w:val="auto"/>
          <w:sz w:val="32"/>
          <w:szCs w:val="32"/>
          <w:highlight w:val="none"/>
          <w:lang w:eastAsia="zh-CN"/>
        </w:rPr>
        <w:t>五</w:t>
      </w:r>
      <w:r>
        <w:rPr>
          <w:rFonts w:hint="eastAsia" w:ascii="Times New Roman" w:hAnsi="Times New Roman" w:eastAsia="黑体" w:cs="黑体"/>
          <w:color w:val="auto"/>
          <w:sz w:val="32"/>
          <w:szCs w:val="32"/>
          <w:highlight w:val="none"/>
        </w:rPr>
        <w:t>、</w:t>
      </w:r>
      <w:r>
        <w:rPr>
          <w:rFonts w:hint="eastAsia" w:ascii="Times New Roman" w:hAnsi="Times New Roman" w:eastAsia="黑体" w:cs="黑体"/>
          <w:sz w:val="32"/>
          <w:szCs w:val="32"/>
        </w:rPr>
        <w:t>获得奖项方面</w:t>
      </w:r>
    </w:p>
    <w:p w14:paraId="63D91991">
      <w:pPr>
        <w:spacing w:line="560" w:lineRule="exact"/>
        <w:ind w:firstLine="600" w:firstLineChars="200"/>
        <w:rPr>
          <w:rFonts w:hint="eastAsia" w:ascii="Times New Roman" w:hAnsi="Times New Roman" w:eastAsia="方正仿宋简体" w:cs="方正仿宋简体"/>
          <w:b w:val="0"/>
          <w:bCs/>
          <w:sz w:val="32"/>
          <w:szCs w:val="32"/>
          <w:highlight w:val="none"/>
        </w:rPr>
      </w:pPr>
      <w:r>
        <w:rPr>
          <w:rFonts w:hint="eastAsia" w:ascii="Times New Roman" w:hAnsi="Times New Roman" w:eastAsia="方正仿宋简体" w:cs="方正仿宋简体"/>
          <w:b w:val="0"/>
          <w:bCs/>
          <w:sz w:val="32"/>
          <w:szCs w:val="32"/>
        </w:rPr>
        <w:t>（一）荣誉等级认定上以颁发、授予单位的级别为准，以表彰文件、表彰证书、获奖证书、荣誉证书等用章单位作为认定依据。国家级指党中央、国务院授予或颁发的荣誉，省级指中央和国家机关部委及省（自治区、直辖市</w:t>
      </w:r>
      <w:r>
        <w:rPr>
          <w:rFonts w:hint="eastAsia" w:ascii="Times New Roman" w:hAnsi="Times New Roman" w:eastAsia="方正仿宋简体" w:cs="方正仿宋简体"/>
          <w:b w:val="0"/>
          <w:bCs/>
          <w:sz w:val="32"/>
          <w:szCs w:val="32"/>
          <w:highlight w:val="none"/>
        </w:rPr>
        <w:t xml:space="preserve">）党委、政府授予或颁发的荣誉，市级指省（自治区、直辖市）党委政府委办厅局及市党委、政府授予或颁发的荣誉。国家级荣誉中：国家自然科学奖、国家技术发明奖、国家科技进步奖特等奖、国家科技进步奖获得者应为前5位完成人；省级荣誉中：省级科学技术特别贡献奖、自然科学奖、技术发明奖、科学技术进步奖、青年科学技术创新奖应为前3位完成人。 </w:t>
      </w:r>
    </w:p>
    <w:p w14:paraId="3C8D9033">
      <w:pPr>
        <w:spacing w:line="560" w:lineRule="exact"/>
        <w:ind w:firstLine="600" w:firstLineChars="200"/>
        <w:rPr>
          <w:rFonts w:hint="eastAsia" w:ascii="Times New Roman" w:hAnsi="Times New Roman" w:eastAsia="方正仿宋简体" w:cs="方正仿宋简体"/>
          <w:b w:val="0"/>
          <w:bCs/>
          <w:sz w:val="32"/>
          <w:szCs w:val="32"/>
        </w:rPr>
      </w:pPr>
      <w:r>
        <w:rPr>
          <w:rFonts w:hint="eastAsia" w:ascii="Times New Roman" w:hAnsi="Times New Roman" w:eastAsia="方正仿宋简体" w:cs="方正仿宋简体"/>
          <w:b w:val="0"/>
          <w:bCs/>
          <w:sz w:val="32"/>
          <w:szCs w:val="32"/>
        </w:rPr>
        <w:t>（二）学校授予的荣誉</w:t>
      </w:r>
      <w:r>
        <w:rPr>
          <w:rFonts w:hint="eastAsia" w:ascii="Times New Roman" w:hAnsi="Times New Roman" w:eastAsia="方正仿宋简体" w:cs="方正仿宋简体"/>
          <w:b w:val="0"/>
          <w:bCs/>
          <w:sz w:val="32"/>
          <w:szCs w:val="32"/>
          <w:lang w:eastAsia="zh-CN"/>
        </w:rPr>
        <w:t>、在校期间获得的各类奖学金</w:t>
      </w:r>
      <w:r>
        <w:rPr>
          <w:rFonts w:hint="eastAsia" w:ascii="Times New Roman" w:hAnsi="Times New Roman" w:eastAsia="方正仿宋简体" w:cs="方正仿宋简体"/>
          <w:b w:val="0"/>
          <w:bCs/>
          <w:sz w:val="32"/>
          <w:szCs w:val="32"/>
        </w:rPr>
        <w:t>不计算得分。</w:t>
      </w:r>
    </w:p>
    <w:p w14:paraId="1FFF372F">
      <w:pPr>
        <w:spacing w:line="560" w:lineRule="exact"/>
        <w:ind w:firstLine="600" w:firstLineChars="200"/>
        <w:rPr>
          <w:rFonts w:hint="eastAsia" w:ascii="Times New Roman" w:hAnsi="Times New Roman" w:eastAsia="方正仿宋简体" w:cs="方正仿宋简体"/>
          <w:b w:val="0"/>
          <w:bCs/>
        </w:rPr>
      </w:pPr>
      <w:r>
        <w:rPr>
          <w:rFonts w:hint="eastAsia" w:ascii="Times New Roman" w:hAnsi="Times New Roman" w:eastAsia="方正仿宋简体" w:cs="方正仿宋简体"/>
          <w:b w:val="0"/>
          <w:bCs/>
          <w:sz w:val="32"/>
          <w:szCs w:val="32"/>
        </w:rPr>
        <w:t>（三）各类协会、社会组织、组委会发放证书的不加分。</w:t>
      </w:r>
    </w:p>
    <w:p w14:paraId="6543362D">
      <w:pPr>
        <w:keepNext w:val="0"/>
        <w:keepLines w:val="0"/>
        <w:pageBreakBefore w:val="0"/>
        <w:kinsoku/>
        <w:wordWrap/>
        <w:overflowPunct/>
        <w:topLinePunct w:val="0"/>
        <w:autoSpaceDE/>
        <w:autoSpaceDN/>
        <w:bidi w:val="0"/>
        <w:adjustRightInd/>
        <w:snapToGrid/>
        <w:spacing w:line="260" w:lineRule="exact"/>
        <w:textAlignment w:val="auto"/>
        <w:rPr>
          <w:rFonts w:hint="eastAsia" w:ascii="Times New Roman" w:hAnsi="Times New Roman" w:eastAsia="仿宋_GB2312"/>
          <w:b w:val="0"/>
          <w:bCs/>
          <w:sz w:val="21"/>
          <w:szCs w:val="21"/>
          <w:lang w:val="en-US" w:eastAsia="zh-CN"/>
        </w:rPr>
      </w:pPr>
    </w:p>
    <w:sectPr>
      <w:pgSz w:w="11906" w:h="16838"/>
      <w:pgMar w:top="1134" w:right="850" w:bottom="1134"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5A9C38-726F-46C2-A846-C00FC3055CF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2" w:fontKey="{BA53736D-0E95-4092-AF9F-99D7C40B2716}"/>
  </w:font>
  <w:font w:name="楷体">
    <w:panose1 w:val="02010609060101010101"/>
    <w:charset w:val="86"/>
    <w:family w:val="modern"/>
    <w:pitch w:val="default"/>
    <w:sig w:usb0="800002BF" w:usb1="38CF7CFA" w:usb2="00000016" w:usb3="00000000" w:csb0="00040001" w:csb1="00000000"/>
    <w:embedRegular r:id="rId3" w:fontKey="{86B2D4F8-A360-49A9-A335-9D7B170F960C}"/>
  </w:font>
  <w:font w:name="仿宋_GB2312">
    <w:panose1 w:val="02010609030101010101"/>
    <w:charset w:val="86"/>
    <w:family w:val="modern"/>
    <w:pitch w:val="default"/>
    <w:sig w:usb0="00000001" w:usb1="080E0000" w:usb2="00000000" w:usb3="00000000" w:csb0="00040000" w:csb1="00000000"/>
    <w:embedRegular r:id="rId4" w:fontKey="{5DC28EE4-1A26-4E22-8F9B-29C90FF4F719}"/>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yODZlYjUyZTAxNmFmMmYwZmMxYWViYzdlYTY0ZGYifQ=="/>
  </w:docVars>
  <w:rsids>
    <w:rsidRoot w:val="464025A8"/>
    <w:rsid w:val="020B47AC"/>
    <w:rsid w:val="07484E45"/>
    <w:rsid w:val="0F9461FA"/>
    <w:rsid w:val="10C82657"/>
    <w:rsid w:val="16675E44"/>
    <w:rsid w:val="333B293F"/>
    <w:rsid w:val="36966D52"/>
    <w:rsid w:val="37CD01A8"/>
    <w:rsid w:val="385E2DBD"/>
    <w:rsid w:val="3E732DC2"/>
    <w:rsid w:val="464025A8"/>
    <w:rsid w:val="4AF45637"/>
    <w:rsid w:val="4D3072D0"/>
    <w:rsid w:val="4FBC6A37"/>
    <w:rsid w:val="50E101BE"/>
    <w:rsid w:val="51ED1A1E"/>
    <w:rsid w:val="5688661D"/>
    <w:rsid w:val="59D61361"/>
    <w:rsid w:val="5DC243E7"/>
    <w:rsid w:val="5EDAEB65"/>
    <w:rsid w:val="639530AB"/>
    <w:rsid w:val="68DD68DF"/>
    <w:rsid w:val="6D8A50C2"/>
    <w:rsid w:val="6FDE7330"/>
    <w:rsid w:val="705D5574"/>
    <w:rsid w:val="78755F07"/>
    <w:rsid w:val="7E727A8B"/>
    <w:rsid w:val="7EE5203C"/>
    <w:rsid w:val="7F457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b/>
      <w:spacing w:val="-10"/>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2302</Words>
  <Characters>2385</Characters>
  <Lines>0</Lines>
  <Paragraphs>0</Paragraphs>
  <TotalTime>8</TotalTime>
  <ScaleCrop>false</ScaleCrop>
  <LinksUpToDate>false</LinksUpToDate>
  <CharactersWithSpaces>2492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2024-07-22T11:50:00Z</dcterms:created>
  <dc:creator>科尔沁区人社局</dc:creator>
  <cp:lastModifiedBy>胖胖胖达</cp:lastModifiedBy>
  <cp:lastPrinted>2025-03-18T09:55:00Z</cp:lastPrinted>
  <dcterms:modified xsi:type="dcterms:W3CDTF">2025-03-19T07:38:48Z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3632D94BD4F942AC9FA3BC99E16EB267_13</vt:lpwstr>
  </property>
  <property fmtid="{D5CDD505-2E9C-101B-9397-08002B2CF9AE}" pid="4" name="KSOTemplateDocerSaveRecord">
    <vt:lpwstr>eyJoZGlkIjoiZDRhYTk2YTkzNTEzNGQ4NjhkYzNhNjI4MGY0YzFjYTYiLCJ1c2VySWQiOiIyNTY5NTM1NTgifQ==</vt:lpwstr>
  </property>
</Properties>
</file>