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pacing w:line="560" w:lineRule="exact"/>
        <w:jc w:val="center"/>
        <w:rPr>
          <w:rFonts w:hint="eastAsia" w:ascii="方正小标宋简体" w:hAnsi="方正小标宋简体" w:eastAsia="方正小标宋简体" w:cs="方正小标宋简体"/>
          <w:color w:val="auto"/>
          <w:kern w:val="0"/>
          <w:sz w:val="44"/>
          <w:szCs w:val="44"/>
          <w:highlight w:val="none"/>
          <w:u w:val="none"/>
        </w:rPr>
      </w:pPr>
      <w:r>
        <w:rPr>
          <w:rFonts w:hint="eastAsia" w:ascii="方正小标宋简体" w:hAnsi="方正小标宋简体" w:eastAsia="方正小标宋简体" w:cs="方正小标宋简体"/>
          <w:color w:val="auto"/>
          <w:kern w:val="0"/>
          <w:sz w:val="44"/>
          <w:szCs w:val="44"/>
          <w:highlight w:val="none"/>
          <w:u w:val="none"/>
        </w:rPr>
        <w:t>2025年满洲里市农牧水利局</w:t>
      </w:r>
    </w:p>
    <w:p>
      <w:pPr>
        <w:keepNext w:val="0"/>
        <w:keepLines w:val="0"/>
        <w:pageBreakBefore w:val="0"/>
        <w:widowControl/>
        <w:kinsoku/>
        <w:overflowPunct/>
        <w:topLinePunct w:val="0"/>
        <w:autoSpaceDE/>
        <w:autoSpaceDN/>
        <w:bidi w:val="0"/>
        <w:adjustRightInd/>
        <w:spacing w:line="560" w:lineRule="exact"/>
        <w:jc w:val="center"/>
        <w:rPr>
          <w:rFonts w:hint="eastAsia" w:ascii="方正小标宋简体" w:hAnsi="方正小标宋简体" w:eastAsia="方正小标宋简体" w:cs="方正小标宋简体"/>
          <w:color w:val="auto"/>
          <w:kern w:val="0"/>
          <w:sz w:val="44"/>
          <w:szCs w:val="44"/>
          <w:highlight w:val="none"/>
          <w:u w:val="none"/>
        </w:rPr>
      </w:pPr>
      <w:r>
        <w:rPr>
          <w:rFonts w:hint="eastAsia" w:ascii="方正小标宋简体" w:hAnsi="方正小标宋简体" w:eastAsia="方正小标宋简体" w:cs="方正小标宋简体"/>
          <w:color w:val="auto"/>
          <w:kern w:val="0"/>
          <w:sz w:val="44"/>
          <w:szCs w:val="44"/>
          <w:highlight w:val="none"/>
          <w:u w:val="none"/>
        </w:rPr>
        <w:t>所属事业单位人才引进公告</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根据满洲里市事业单位人才引进相关规定，结合满洲里市农牧水利局所属事业单位工作需要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经研究决定，拟面向社会公开引进急需紧缺专业人才。现将有关事宜公告如下：</w:t>
      </w:r>
    </w:p>
    <w:p>
      <w:pPr>
        <w:keepNext w:val="0"/>
        <w:keepLines w:val="0"/>
        <w:pageBreakBefore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一、引进计划</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满洲里市农牧水利局所属事业单位计划引进人才3名。人才引进岗位及条件详见附件1:《</w:t>
      </w:r>
      <w:bookmarkStart w:id="0" w:name="OLE_LINK17"/>
      <w:r>
        <w:rPr>
          <w:rFonts w:hint="eastAsia" w:ascii="仿宋_GB2312" w:hAnsi="仿宋_GB2312" w:eastAsia="仿宋_GB2312" w:cs="仿宋_GB2312"/>
          <w:color w:val="auto"/>
          <w:sz w:val="32"/>
          <w:szCs w:val="32"/>
          <w:highlight w:val="none"/>
          <w:u w:val="none"/>
        </w:rPr>
        <w:t>2025年满洲里市农牧水利局所属事业单位人才引进岗位需求表</w:t>
      </w:r>
      <w:bookmarkEnd w:id="0"/>
      <w:r>
        <w:rPr>
          <w:rFonts w:hint="eastAsia" w:ascii="仿宋_GB2312" w:hAnsi="仿宋_GB2312" w:eastAsia="仿宋_GB2312" w:cs="仿宋_GB2312"/>
          <w:color w:val="auto"/>
          <w:sz w:val="32"/>
          <w:szCs w:val="32"/>
          <w:highlight w:val="none"/>
          <w:u w:val="none"/>
        </w:rPr>
        <w:t>》（以下简称《岗位需求表》）。</w:t>
      </w:r>
    </w:p>
    <w:p>
      <w:pPr>
        <w:keepNext w:val="0"/>
        <w:keepLines w:val="0"/>
        <w:pageBreakBefore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 xml:space="preserve">二、引进条件 </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（一）引进对象须具备以下条件：</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bookmarkStart w:id="1" w:name="OLE_LINK4"/>
      <w:r>
        <w:rPr>
          <w:rFonts w:hint="eastAsia" w:ascii="仿宋_GB2312" w:hAnsi="仿宋_GB2312" w:eastAsia="仿宋_GB2312" w:cs="仿宋_GB2312"/>
          <w:color w:val="auto"/>
          <w:sz w:val="32"/>
          <w:szCs w:val="32"/>
          <w:highlight w:val="none"/>
          <w:u w:val="none"/>
        </w:rPr>
        <w:t>1.具有中华人民共和国国籍；</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2.遵守中华人民共和国宪法和法律</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拥护中国共产党领导和社会主义制度</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3.铸牢中华民族共同体意识，自觉维护民族团结进步；</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4.品行端正，具有较强的事业心和责任感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遵守职业道德规范，无违法违纪行为，具有良好的品行、正常履行职责的身体条件和心理素质，具备相关基本能力；</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color w:val="auto"/>
          <w:sz w:val="32"/>
          <w:szCs w:val="32"/>
          <w:highlight w:val="none"/>
          <w:u w:val="none"/>
        </w:rPr>
        <w:t>5.本科生报考应具有一流大学、一流学科建设高校或原“985”“211”高校相关专业全日制本科学历并取得相应学位；研究生</w:t>
      </w:r>
      <w:r>
        <w:rPr>
          <w:rFonts w:hint="eastAsia" w:ascii="仿宋_GB2312" w:hAnsi="仿宋_GB2312" w:eastAsia="仿宋_GB2312" w:cs="仿宋_GB2312"/>
          <w:color w:val="auto"/>
          <w:sz w:val="32"/>
          <w:szCs w:val="32"/>
          <w:highlight w:val="none"/>
          <w:u w:val="none"/>
          <w:lang w:eastAsia="zh-CN"/>
        </w:rPr>
        <w:t>及</w:t>
      </w:r>
      <w:r>
        <w:rPr>
          <w:rFonts w:hint="eastAsia" w:ascii="仿宋_GB2312" w:hAnsi="仿宋_GB2312" w:eastAsia="仿宋_GB2312" w:cs="仿宋_GB2312"/>
          <w:color w:val="auto"/>
          <w:sz w:val="32"/>
          <w:szCs w:val="32"/>
          <w:highlight w:val="none"/>
          <w:u w:val="none"/>
        </w:rPr>
        <w:t>以上学历报考应具有相关专业全日制</w:t>
      </w:r>
      <w:r>
        <w:rPr>
          <w:rFonts w:hint="eastAsia" w:ascii="仿宋_GB2312" w:hAnsi="仿宋_GB2312" w:eastAsia="仿宋_GB2312" w:cs="仿宋_GB2312"/>
          <w:color w:val="auto"/>
          <w:sz w:val="32"/>
          <w:szCs w:val="32"/>
          <w:highlight w:val="none"/>
          <w:u w:val="none"/>
          <w:lang w:eastAsia="zh-CN"/>
        </w:rPr>
        <w:t>硕士</w:t>
      </w:r>
      <w:r>
        <w:rPr>
          <w:rFonts w:hint="eastAsia" w:ascii="仿宋_GB2312" w:hAnsi="仿宋_GB2312" w:eastAsia="仿宋_GB2312" w:cs="仿宋_GB2312"/>
          <w:color w:val="auto"/>
          <w:sz w:val="32"/>
          <w:szCs w:val="32"/>
          <w:highlight w:val="none"/>
          <w:u w:val="none"/>
        </w:rPr>
        <w:t>研究生</w:t>
      </w:r>
      <w:r>
        <w:rPr>
          <w:rFonts w:hint="eastAsia" w:ascii="仿宋_GB2312" w:hAnsi="仿宋_GB2312" w:eastAsia="仿宋_GB2312" w:cs="仿宋_GB2312"/>
          <w:color w:val="auto"/>
          <w:sz w:val="32"/>
          <w:szCs w:val="32"/>
          <w:highlight w:val="none"/>
          <w:u w:val="none"/>
          <w:lang w:eastAsia="zh-CN"/>
        </w:rPr>
        <w:t>及</w:t>
      </w:r>
      <w:r>
        <w:rPr>
          <w:rFonts w:hint="eastAsia" w:ascii="仿宋_GB2312" w:hAnsi="仿宋_GB2312" w:eastAsia="仿宋_GB2312" w:cs="仿宋_GB2312"/>
          <w:color w:val="auto"/>
          <w:sz w:val="32"/>
          <w:szCs w:val="32"/>
          <w:highlight w:val="none"/>
          <w:u w:val="none"/>
        </w:rPr>
        <w:t>以上学历并取得相应学位</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报考</w:t>
      </w:r>
      <w:r>
        <w:rPr>
          <w:rFonts w:hint="eastAsia" w:ascii="仿宋_GB2312" w:hAnsi="仿宋_GB2312" w:eastAsia="仿宋_GB2312" w:cs="仿宋_GB2312"/>
          <w:color w:val="auto"/>
          <w:sz w:val="32"/>
          <w:szCs w:val="32"/>
          <w:highlight w:val="none"/>
          <w:u w:val="none"/>
          <w:lang w:val="en-US" w:eastAsia="zh-CN"/>
        </w:rPr>
        <w:t>满洲里市水利事业发展中心</w:t>
      </w:r>
      <w:r>
        <w:rPr>
          <w:rFonts w:hint="eastAsia" w:ascii="仿宋_GB2312" w:hAnsi="仿宋_GB2312" w:eastAsia="仿宋_GB2312" w:cs="仿宋_GB2312"/>
          <w:color w:val="auto"/>
          <w:sz w:val="32"/>
          <w:szCs w:val="32"/>
          <w:highlight w:val="none"/>
          <w:u w:val="none"/>
        </w:rPr>
        <w:t>专</w:t>
      </w:r>
      <w:r>
        <w:rPr>
          <w:rFonts w:hint="eastAsia" w:ascii="仿宋_GB2312" w:hAnsi="仿宋_GB2312" w:eastAsia="仿宋_GB2312" w:cs="仿宋_GB2312"/>
          <w:color w:val="auto"/>
          <w:sz w:val="32"/>
          <w:szCs w:val="32"/>
          <w:highlight w:val="none"/>
          <w:u w:val="none"/>
          <w:lang w:val="en-US" w:eastAsia="zh-CN"/>
        </w:rPr>
        <w:t>业</w:t>
      </w:r>
      <w:r>
        <w:rPr>
          <w:rFonts w:hint="eastAsia" w:ascii="仿宋_GB2312" w:hAnsi="仿宋_GB2312" w:eastAsia="仿宋_GB2312" w:cs="仿宋_GB2312"/>
          <w:color w:val="auto"/>
          <w:sz w:val="32"/>
          <w:szCs w:val="32"/>
          <w:highlight w:val="none"/>
          <w:u w:val="none"/>
        </w:rPr>
        <w:t>技</w:t>
      </w:r>
      <w:r>
        <w:rPr>
          <w:rFonts w:hint="eastAsia" w:ascii="仿宋_GB2312" w:hAnsi="仿宋_GB2312" w:eastAsia="仿宋_GB2312" w:cs="仿宋_GB2312"/>
          <w:color w:val="auto"/>
          <w:sz w:val="32"/>
          <w:szCs w:val="32"/>
          <w:highlight w:val="none"/>
          <w:u w:val="none"/>
          <w:lang w:val="en-US" w:eastAsia="zh-CN"/>
        </w:rPr>
        <w:t>术</w:t>
      </w:r>
      <w:r>
        <w:rPr>
          <w:rFonts w:hint="eastAsia" w:ascii="仿宋_GB2312" w:hAnsi="仿宋_GB2312" w:eastAsia="仿宋_GB2312" w:cs="仿宋_GB2312"/>
          <w:color w:val="auto"/>
          <w:sz w:val="32"/>
          <w:szCs w:val="32"/>
          <w:highlight w:val="none"/>
          <w:u w:val="none"/>
        </w:rPr>
        <w:t>岗位</w:t>
      </w:r>
      <w:r>
        <w:rPr>
          <w:rFonts w:hint="eastAsia" w:ascii="仿宋_GB2312" w:hAnsi="仿宋_GB2312" w:eastAsia="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rPr>
        <w:t>的人员，应取得国民教育序列本科及以上学历，且</w:t>
      </w:r>
      <w:r>
        <w:rPr>
          <w:rFonts w:hint="eastAsia" w:ascii="仿宋_GB2312" w:hAnsi="仿宋_GB2312" w:eastAsia="仿宋_GB2312" w:cs="仿宋_GB2312"/>
          <w:color w:val="auto"/>
          <w:sz w:val="32"/>
          <w:szCs w:val="32"/>
          <w:highlight w:val="none"/>
          <w:u w:val="none"/>
          <w:lang w:val="en-US" w:eastAsia="zh-CN"/>
        </w:rPr>
        <w:t>取得水利工程专业副高级及以上专业技术职称；</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6.全日制本科生不超过35周岁（19</w:t>
      </w:r>
      <w:r>
        <w:rPr>
          <w:rFonts w:hint="eastAsia" w:ascii="仿宋_GB2312" w:hAnsi="仿宋_GB2312" w:eastAsia="仿宋_GB2312" w:cs="仿宋_GB2312"/>
          <w:color w:val="auto"/>
          <w:sz w:val="32"/>
          <w:szCs w:val="32"/>
          <w:highlight w:val="none"/>
          <w:u w:val="none"/>
          <w:lang w:val="en-US" w:eastAsia="zh-CN"/>
        </w:rPr>
        <w:t>89</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26</w:t>
      </w:r>
      <w:r>
        <w:rPr>
          <w:rFonts w:hint="eastAsia" w:ascii="仿宋_GB2312" w:hAnsi="仿宋_GB2312" w:eastAsia="仿宋_GB2312" w:cs="仿宋_GB2312"/>
          <w:color w:val="auto"/>
          <w:sz w:val="32"/>
          <w:szCs w:val="32"/>
          <w:highlight w:val="none"/>
          <w:u w:val="none"/>
        </w:rPr>
        <w:t>日以后出生），硕士研究生不超过40周岁（19</w:t>
      </w:r>
      <w:r>
        <w:rPr>
          <w:rFonts w:hint="eastAsia" w:ascii="仿宋_GB2312" w:hAnsi="仿宋_GB2312" w:eastAsia="仿宋_GB2312" w:cs="仿宋_GB2312"/>
          <w:color w:val="auto"/>
          <w:sz w:val="32"/>
          <w:szCs w:val="32"/>
          <w:highlight w:val="none"/>
          <w:u w:val="none"/>
          <w:lang w:val="en-US" w:eastAsia="zh-CN"/>
        </w:rPr>
        <w:t>84</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26</w:t>
      </w:r>
      <w:r>
        <w:rPr>
          <w:rFonts w:hint="eastAsia" w:ascii="仿宋_GB2312" w:hAnsi="仿宋_GB2312" w:eastAsia="仿宋_GB2312" w:cs="仿宋_GB2312"/>
          <w:color w:val="auto"/>
          <w:sz w:val="32"/>
          <w:szCs w:val="32"/>
          <w:highlight w:val="none"/>
          <w:u w:val="none"/>
        </w:rPr>
        <w:t>日以后出生），博士研究生、具有副高级及以上专业技术职称及高技能人才原则上不超过45周岁（19</w:t>
      </w:r>
      <w:r>
        <w:rPr>
          <w:rFonts w:hint="eastAsia" w:ascii="仿宋_GB2312" w:hAnsi="仿宋_GB2312" w:eastAsia="仿宋_GB2312" w:cs="仿宋_GB2312"/>
          <w:color w:val="auto"/>
          <w:sz w:val="32"/>
          <w:szCs w:val="32"/>
          <w:highlight w:val="none"/>
          <w:u w:val="none"/>
          <w:lang w:val="en-US" w:eastAsia="zh-CN"/>
        </w:rPr>
        <w:t>79</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26</w:t>
      </w:r>
      <w:r>
        <w:rPr>
          <w:rFonts w:hint="eastAsia" w:ascii="仿宋_GB2312" w:hAnsi="仿宋_GB2312" w:eastAsia="仿宋_GB2312" w:cs="仿宋_GB2312"/>
          <w:color w:val="auto"/>
          <w:sz w:val="32"/>
          <w:szCs w:val="32"/>
          <w:highlight w:val="none"/>
          <w:u w:val="none"/>
        </w:rPr>
        <w:t>日以后出生）；学历及其他资格条件所取得时间为2025年7月31日前；</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7.国（境）外留学归国学士、硕士或博士研究生需持有国外学历学位认证书，专业名称须与国内专业名称一致或相近</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国(境)外硕士研究生及以上学历的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学制须为2年及以上且本科毕业于国内全日制高校</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学制2年以下的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毕业院校</w:t>
      </w:r>
      <w:r>
        <w:rPr>
          <w:rFonts w:hint="eastAsia" w:ascii="仿宋_GB2312" w:hAnsi="仿宋_GB2312" w:eastAsia="仿宋_GB2312" w:cs="仿宋_GB2312"/>
          <w:color w:val="auto"/>
          <w:sz w:val="32"/>
          <w:szCs w:val="32"/>
          <w:highlight w:val="none"/>
          <w:u w:val="none"/>
          <w:lang w:val="en-US" w:eastAsia="zh-CN"/>
        </w:rPr>
        <w:t>需为2025年度</w:t>
      </w:r>
      <w:r>
        <w:rPr>
          <w:rFonts w:hint="eastAsia" w:ascii="仿宋_GB2312" w:hAnsi="仿宋_GB2312" w:eastAsia="仿宋_GB2312" w:cs="仿宋_GB2312"/>
          <w:color w:val="auto"/>
          <w:sz w:val="32"/>
          <w:szCs w:val="32"/>
          <w:highlight w:val="none"/>
          <w:u w:val="none"/>
        </w:rPr>
        <w:t>英国QS世界大学排名、泰晤士高等教育世界大学排名、《美国新闻与世界报道》世界大学排名、软科世界大学学术排名前1000名</w:t>
      </w:r>
      <w:r>
        <w:rPr>
          <w:rFonts w:hint="eastAsia" w:ascii="仿宋_GB2312" w:hAnsi="仿宋_GB2312" w:eastAsia="仿宋_GB2312" w:cs="仿宋_GB2312"/>
          <w:color w:val="auto"/>
          <w:sz w:val="32"/>
          <w:szCs w:val="32"/>
          <w:highlight w:val="none"/>
          <w:u w:val="none"/>
          <w:lang w:eastAsia="zh-CN"/>
        </w:rPr>
        <w:t>；</w:t>
      </w:r>
    </w:p>
    <w:p>
      <w:pPr>
        <w:pStyle w:val="4"/>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.获得省级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自治区级及以上表彰奖励(奖项)的高技能人才、“双师型”人才</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.岗位所需的其他条件。</w:t>
      </w:r>
    </w:p>
    <w:bookmarkEnd w:id="1"/>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（二）以下人员不得报名:</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bookmarkStart w:id="2" w:name="OLE_LINK5"/>
      <w:r>
        <w:rPr>
          <w:rFonts w:hint="eastAsia" w:ascii="仿宋_GB2312" w:hAnsi="仿宋_GB2312" w:eastAsia="仿宋_GB2312" w:cs="仿宋_GB2312"/>
          <w:color w:val="auto"/>
          <w:sz w:val="32"/>
          <w:szCs w:val="32"/>
          <w:highlight w:val="none"/>
          <w:u w:val="none"/>
        </w:rPr>
        <w:t>1.在读的普通高等学校全日制专科生、本科生、研究生（不含应届毕业生）；</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2.试用期内和未满最低服务年限的机关、事业单位工作人员；</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3.有犯罪记录的；被开除中国共产党党籍和公职的；在立案审查期间或在党纪、政务处分影响期内或者期满影响聘用的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曾被依法列为失信联合惩戒对象的人员；</w:t>
      </w:r>
    </w:p>
    <w:p>
      <w:pPr>
        <w:pStyle w:val="4"/>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4.被辞退的公务员、参照公务员法管理人员、事业单位工作人员</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5.在公务员招考或事业单位公开招聘中被认定有舞弊等严重违反录用（聘用）纪律行为并在禁考期限内的人员</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6.现役军人；</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7.引进后即构成回避关系岗位的人员</w:t>
      </w:r>
      <w:r>
        <w:rPr>
          <w:rFonts w:hint="eastAsia" w:ascii="仿宋_GB2312" w:hAnsi="仿宋_GB2312" w:eastAsia="仿宋_GB2312" w:cs="仿宋_GB2312"/>
          <w:color w:val="auto"/>
          <w:sz w:val="32"/>
          <w:szCs w:val="32"/>
          <w:highlight w:val="none"/>
          <w:u w:val="none"/>
          <w:lang w:eastAsia="zh-CN"/>
        </w:rPr>
        <w:t>；</w:t>
      </w:r>
    </w:p>
    <w:p>
      <w:pPr>
        <w:pStyle w:val="8"/>
        <w:keepNext w:val="0"/>
        <w:keepLines w:val="0"/>
        <w:pageBreakBefore w:val="0"/>
        <w:kinsoku/>
        <w:overflowPunct/>
        <w:topLinePunct w:val="0"/>
        <w:autoSpaceDE/>
        <w:autoSpaceDN/>
        <w:bidi w:val="0"/>
        <w:adjustRightInd/>
        <w:spacing w:beforeAutospacing="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8.法律法规规定不得聘用为事业单位工作人员的其他情形人员。</w:t>
      </w:r>
    </w:p>
    <w:bookmarkEnd w:id="2"/>
    <w:p>
      <w:pPr>
        <w:keepNext w:val="0"/>
        <w:keepLines w:val="0"/>
        <w:pageBreakBefore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三、引进方式和程序</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bookmarkStart w:id="3" w:name="OLE_LINK7"/>
      <w:r>
        <w:rPr>
          <w:rFonts w:hint="eastAsia" w:ascii="楷体_GB2312" w:hAnsi="楷体_GB2312" w:eastAsia="楷体_GB2312" w:cs="楷体_GB2312"/>
          <w:b/>
          <w:bCs/>
          <w:color w:val="auto"/>
          <w:sz w:val="32"/>
          <w:szCs w:val="32"/>
          <w:highlight w:val="none"/>
          <w:u w:val="none"/>
        </w:rPr>
        <w:t>（一）发布公告</w:t>
      </w:r>
    </w:p>
    <w:p>
      <w:pPr>
        <w:keepNext w:val="0"/>
        <w:keepLines w:val="0"/>
        <w:pageBreakBefore w:val="0"/>
        <w:kinsoku/>
        <w:wordWrap w:val="0"/>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bookmarkStart w:id="4" w:name="OLE_LINK20"/>
      <w:bookmarkStart w:id="5" w:name="OLE_LINK21"/>
      <w:r>
        <w:rPr>
          <w:rFonts w:hint="eastAsia" w:ascii="仿宋_GB2312" w:hAnsi="仿宋_GB2312" w:eastAsia="仿宋_GB2312" w:cs="仿宋_GB2312"/>
          <w:color w:val="auto"/>
          <w:sz w:val="32"/>
          <w:szCs w:val="32"/>
          <w:highlight w:val="none"/>
          <w:u w:val="none"/>
        </w:rPr>
        <w:t>通过满洲里市人民政府网、满洲里市融媒体中心向社会发布公告。</w:t>
      </w:r>
      <w:bookmarkEnd w:id="4"/>
    </w:p>
    <w:bookmarkEnd w:id="5"/>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（二）报名</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1.报名时间：2025年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26</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日</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2.报名方式：采取网络报名方式进行</w:t>
      </w:r>
    </w:p>
    <w:p>
      <w:pPr>
        <w:keepNext w:val="0"/>
        <w:keepLines w:val="0"/>
        <w:pageBreakBefore w:val="0"/>
        <w:kinsoku/>
        <w:overflowPunct/>
        <w:topLinePunct w:val="0"/>
        <w:autoSpaceDE/>
        <w:autoSpaceDN/>
        <w:bidi w:val="0"/>
        <w:adjustRightInd/>
        <w:spacing w:line="560" w:lineRule="exact"/>
        <w:ind w:firstLine="960" w:firstLineChars="300"/>
        <w:rPr>
          <w:rStyle w:val="13"/>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报名邮箱：mzlnmsljrs@126.com</w:t>
      </w:r>
    </w:p>
    <w:p>
      <w:pPr>
        <w:pStyle w:val="6"/>
        <w:keepNext w:val="0"/>
        <w:keepLines w:val="0"/>
        <w:pageBreakBefore w:val="0"/>
        <w:kinsoku/>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3.每位报名人员只能报一个岗位，凡报两个及以上岗位的，取消报名资格。</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rPr>
        <w:t>4.应聘人员须按要求填写附件2:《</w:t>
      </w:r>
      <w:bookmarkStart w:id="6" w:name="OLE_LINK15"/>
      <w:r>
        <w:rPr>
          <w:rFonts w:hint="eastAsia" w:ascii="仿宋_GB2312" w:hAnsi="仿宋_GB2312" w:eastAsia="仿宋_GB2312" w:cs="仿宋_GB2312"/>
          <w:color w:val="auto"/>
          <w:sz w:val="32"/>
          <w:szCs w:val="32"/>
          <w:highlight w:val="none"/>
          <w:u w:val="none"/>
        </w:rPr>
        <w:t>2025年满洲里市农牧水利局所属事业单位人才引进报名表</w:t>
      </w:r>
      <w:bookmarkEnd w:id="6"/>
      <w:r>
        <w:rPr>
          <w:rFonts w:hint="eastAsia" w:ascii="仿宋_GB2312" w:hAnsi="仿宋_GB2312" w:eastAsia="仿宋_GB2312" w:cs="仿宋_GB2312"/>
          <w:color w:val="auto"/>
          <w:sz w:val="32"/>
          <w:szCs w:val="32"/>
          <w:highlight w:val="none"/>
          <w:u w:val="none"/>
        </w:rPr>
        <w:t>》，并上传本人近期2寸正面免冠数码彩照(白色背景，jpg格式，100KB以下)。</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HYPERLINK "mailto:在报名期限内发送到邮箱mzlwtlygdj@163.com"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t>在报名期限内发送到邮箱</w:t>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（mzlnmsljrs@126.com），发送报名信息时请点击已读回执，确认报名信息发送成功。</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5.应聘人员填写个人简历时，须完整填写学习和工作经历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时间不得间断或空缺。报名信息填写不全、不规范或不按要求填写报名信息的，不予审核通过。报名人员要认真阅读报考条件和要求，所填报考信息应当真实、准确、完整、规范，凡弄虚作假者将取消考试和引进资格。</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6.报名时需提供以下材料，所有材料均须扫描成PDF格式文件并</w:t>
      </w:r>
      <w:r>
        <w:rPr>
          <w:rFonts w:hint="eastAsia" w:ascii="仿宋_GB2312" w:hAnsi="仿宋_GB2312" w:eastAsia="仿宋_GB2312" w:cs="仿宋_GB2312"/>
          <w:color w:val="auto"/>
          <w:sz w:val="32"/>
          <w:szCs w:val="32"/>
          <w:highlight w:val="none"/>
          <w:u w:val="none"/>
          <w:lang w:val="en-US" w:eastAsia="zh-CN"/>
        </w:rPr>
        <w:t>压缩</w:t>
      </w:r>
      <w:r>
        <w:rPr>
          <w:rFonts w:hint="eastAsia" w:ascii="仿宋_GB2312" w:hAnsi="仿宋_GB2312" w:eastAsia="仿宋_GB2312" w:cs="仿宋_GB2312"/>
          <w:color w:val="auto"/>
          <w:sz w:val="32"/>
          <w:szCs w:val="32"/>
          <w:highlight w:val="none"/>
          <w:u w:val="none"/>
        </w:rPr>
        <w:t>打包（以“姓名+报考岗位”命名）上传:</w:t>
      </w:r>
    </w:p>
    <w:p>
      <w:pPr>
        <w:pStyle w:val="8"/>
        <w:keepNext w:val="0"/>
        <w:keepLines w:val="0"/>
        <w:pageBreakBefore w:val="0"/>
        <w:kinsoku/>
        <w:overflowPunct/>
        <w:topLinePunct w:val="0"/>
        <w:autoSpaceDE/>
        <w:autoSpaceDN/>
        <w:bidi w:val="0"/>
        <w:adjustRightInd/>
        <w:spacing w:beforeAutospacing="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（1）《2025年满洲里市农牧水利局所属事业单位人才引进报名表》；</w:t>
      </w:r>
    </w:p>
    <w:p>
      <w:pPr>
        <w:pStyle w:val="8"/>
        <w:keepNext w:val="0"/>
        <w:keepLines w:val="0"/>
        <w:pageBreakBefore w:val="0"/>
        <w:kinsoku/>
        <w:overflowPunct/>
        <w:topLinePunct w:val="0"/>
        <w:autoSpaceDE/>
        <w:autoSpaceDN/>
        <w:bidi w:val="0"/>
        <w:adjustRightInd/>
        <w:spacing w:beforeAutospacing="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（2）学历、学位证书；</w:t>
      </w:r>
    </w:p>
    <w:p>
      <w:pPr>
        <w:pStyle w:val="8"/>
        <w:keepNext w:val="0"/>
        <w:keepLines w:val="0"/>
        <w:pageBreakBefore w:val="0"/>
        <w:kinsoku/>
        <w:overflowPunct/>
        <w:topLinePunct w:val="0"/>
        <w:autoSpaceDE/>
        <w:autoSpaceDN/>
        <w:bidi w:val="0"/>
        <w:adjustRightInd/>
        <w:spacing w:beforeAutospacing="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（3）《教育部学历证书电子注册备案表》《学位认证报告》；取得国外学历学位的需提供教育部留学服务中心国外学历学位认证书、成绩单和毕业证书（标注本人姓名和证件相关内容翻译名称</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学制2年以下的，</w:t>
      </w:r>
      <w:r>
        <w:rPr>
          <w:rFonts w:hint="eastAsia" w:ascii="仿宋_GB2312" w:hAnsi="仿宋_GB2312" w:eastAsia="仿宋_GB2312" w:cs="仿宋_GB2312"/>
          <w:color w:val="auto"/>
          <w:sz w:val="32"/>
          <w:szCs w:val="32"/>
          <w:highlight w:val="none"/>
          <w:u w:val="none"/>
          <w:lang w:val="en-US" w:eastAsia="zh-CN"/>
        </w:rPr>
        <w:t>需参考</w:t>
      </w:r>
      <w:r>
        <w:rPr>
          <w:rFonts w:hint="eastAsia" w:ascii="仿宋_GB2312" w:hAnsi="仿宋_GB2312" w:eastAsia="仿宋_GB2312" w:cs="仿宋_GB2312"/>
          <w:color w:val="auto"/>
          <w:sz w:val="32"/>
          <w:szCs w:val="32"/>
          <w:highlight w:val="none"/>
          <w:u w:val="none"/>
        </w:rPr>
        <w:t>2025年</w:t>
      </w:r>
      <w:r>
        <w:rPr>
          <w:rFonts w:hint="eastAsia" w:ascii="仿宋_GB2312" w:hAnsi="仿宋_GB2312" w:eastAsia="仿宋_GB2312" w:cs="仿宋_GB2312"/>
          <w:color w:val="auto"/>
          <w:sz w:val="32"/>
          <w:szCs w:val="32"/>
          <w:highlight w:val="none"/>
          <w:u w:val="none"/>
          <w:lang w:val="en-US" w:eastAsia="zh-CN"/>
        </w:rPr>
        <w:t>度</w:t>
      </w:r>
      <w:r>
        <w:rPr>
          <w:rFonts w:hint="eastAsia" w:ascii="仿宋_GB2312" w:hAnsi="仿宋_GB2312" w:eastAsia="仿宋_GB2312" w:cs="仿宋_GB2312"/>
          <w:color w:val="auto"/>
          <w:sz w:val="32"/>
          <w:szCs w:val="32"/>
          <w:highlight w:val="none"/>
          <w:u w:val="none"/>
        </w:rPr>
        <w:t>的院校排名表）；</w:t>
      </w:r>
    </w:p>
    <w:p>
      <w:pPr>
        <w:pStyle w:val="8"/>
        <w:keepNext w:val="0"/>
        <w:keepLines w:val="0"/>
        <w:pageBreakBefore w:val="0"/>
        <w:kinsoku/>
        <w:overflowPunct/>
        <w:topLinePunct w:val="0"/>
        <w:autoSpaceDE/>
        <w:autoSpaceDN/>
        <w:bidi w:val="0"/>
        <w:adjustRightInd/>
        <w:spacing w:beforeAutospacing="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（4）居民身份证、户口簿或当地户籍管理机关出具的户籍证明等材料；</w:t>
      </w:r>
    </w:p>
    <w:p>
      <w:pPr>
        <w:pStyle w:val="8"/>
        <w:keepNext w:val="0"/>
        <w:keepLines w:val="0"/>
        <w:pageBreakBefore w:val="0"/>
        <w:kinsoku/>
        <w:overflowPunct/>
        <w:topLinePunct w:val="0"/>
        <w:autoSpaceDE/>
        <w:autoSpaceDN/>
        <w:bidi w:val="0"/>
        <w:adjustRightInd/>
        <w:spacing w:beforeAutospacing="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（5）《无不得引进情形承诺书》；</w:t>
      </w:r>
    </w:p>
    <w:p>
      <w:pPr>
        <w:pStyle w:val="8"/>
        <w:keepNext w:val="0"/>
        <w:keepLines w:val="0"/>
        <w:pageBreakBefore w:val="0"/>
        <w:kinsoku/>
        <w:overflowPunct/>
        <w:topLinePunct w:val="0"/>
        <w:autoSpaceDE/>
        <w:autoSpaceDN/>
        <w:bidi w:val="0"/>
        <w:adjustRightInd/>
        <w:spacing w:beforeAutospacing="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（6）应聘人员属于企事业单位职工的，须提供所在单位同意报考证明；</w:t>
      </w:r>
    </w:p>
    <w:p>
      <w:pPr>
        <w:pStyle w:val="8"/>
        <w:keepNext w:val="0"/>
        <w:keepLines w:val="0"/>
        <w:pageBreakBefore w:val="0"/>
        <w:kinsoku/>
        <w:overflowPunct/>
        <w:topLinePunct w:val="0"/>
        <w:autoSpaceDE/>
        <w:autoSpaceDN/>
        <w:bidi w:val="0"/>
        <w:adjustRightInd/>
        <w:spacing w:beforeAutospacing="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（7）相关专业资格证书、职称证书和专业技术资格评审表、荣誉证书及佐证材料；</w:t>
      </w:r>
    </w:p>
    <w:p>
      <w:pPr>
        <w:pStyle w:val="8"/>
        <w:keepNext w:val="0"/>
        <w:keepLines w:val="0"/>
        <w:pageBreakBefore w:val="0"/>
        <w:kinsoku/>
        <w:overflowPunct/>
        <w:topLinePunct w:val="0"/>
        <w:autoSpaceDE/>
        <w:autoSpaceDN/>
        <w:bidi w:val="0"/>
        <w:adjustRightInd/>
        <w:spacing w:beforeAutospacing="0" w:afterAutospacing="0" w:line="560" w:lineRule="exact"/>
        <w:ind w:firstLine="64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（8）《回避承诺书》。</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7.应聘人员须在规定时间内报名，如不按要求报名视为无效。凡是因未按要求报送材料、报送材料不全、信息内容有误等个人原因导致审查未通过的后果自负。</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（三）资格初审</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满洲里市</w:t>
      </w:r>
      <w:bookmarkStart w:id="7" w:name="OLE_LINK1"/>
      <w:r>
        <w:rPr>
          <w:rFonts w:hint="eastAsia" w:ascii="仿宋_GB2312" w:hAnsi="仿宋_GB2312" w:eastAsia="仿宋_GB2312" w:cs="仿宋_GB2312"/>
          <w:color w:val="auto"/>
          <w:sz w:val="32"/>
          <w:szCs w:val="32"/>
          <w:highlight w:val="none"/>
          <w:u w:val="none"/>
        </w:rPr>
        <w:t>农牧水利局</w:t>
      </w:r>
      <w:bookmarkEnd w:id="7"/>
      <w:r>
        <w:rPr>
          <w:rFonts w:hint="eastAsia" w:ascii="仿宋_GB2312" w:hAnsi="仿宋_GB2312" w:eastAsia="仿宋_GB2312" w:cs="仿宋_GB2312"/>
          <w:color w:val="auto"/>
          <w:sz w:val="32"/>
          <w:szCs w:val="32"/>
          <w:highlight w:val="none"/>
          <w:u w:val="none"/>
        </w:rPr>
        <w:t>人才引进工作办公室负责对报名人员进行资格初审，在报名结束后进行，审核结果在3个工作日内以电话和邮箱形式同时通知报名人员。</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报名人员务必保持通讯畅通，若因个人原因导致未能及时联系上本人的，按自动放弃处理，取消其相应资格。</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人岗相适评估时间、地点及具体要求将由满洲里市农牧水利局人才引进工作</w:t>
      </w:r>
      <w:r>
        <w:rPr>
          <w:rFonts w:hint="eastAsia" w:ascii="仿宋_GB2312" w:hAnsi="仿宋_GB2312" w:eastAsia="仿宋_GB2312" w:cs="仿宋_GB2312"/>
          <w:color w:val="auto"/>
          <w:sz w:val="32"/>
          <w:szCs w:val="32"/>
          <w:highlight w:val="none"/>
          <w:u w:val="none"/>
          <w:lang w:val="en-US" w:eastAsia="zh-CN"/>
        </w:rPr>
        <w:t>办公室</w:t>
      </w:r>
      <w:r>
        <w:rPr>
          <w:rFonts w:hint="eastAsia" w:ascii="仿宋_GB2312" w:hAnsi="仿宋_GB2312" w:eastAsia="仿宋_GB2312" w:cs="仿宋_GB2312"/>
          <w:color w:val="auto"/>
          <w:sz w:val="32"/>
          <w:szCs w:val="32"/>
          <w:highlight w:val="none"/>
          <w:u w:val="none"/>
        </w:rPr>
        <w:t>负责电话通知符合条件的报名人员本人，因报名人员个人原因导致未能及时联系上的，按自动放弃处理，取消其相应资格。</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报名人员须持《2025年满洲里市农牧水利局所属事业单位人才引进报名表》、本人居民二代身份证原件在规定的时间地点参加人岗相适评估，凡未在规定时间和地点参加评估的取消评估资格。</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（四）人岗相适评估</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坚持按照“公平、公开、公正”的原则开展。满洲里市农牧水利局人才引进工作领导小组负责对符合条件的报名人员进行人岗相适评估。人岗相适评估工作不设开考比例，设最低合格分数线。</w:t>
      </w:r>
    </w:p>
    <w:p>
      <w:pPr>
        <w:keepNext w:val="0"/>
        <w:keepLines w:val="0"/>
        <w:pageBreakBefore w:val="0"/>
        <w:kinsoku/>
        <w:overflowPunct/>
        <w:topLinePunct w:val="0"/>
        <w:autoSpaceDE/>
        <w:autoSpaceDN/>
        <w:bidi w:val="0"/>
        <w:adjustRightInd/>
        <w:spacing w:line="560" w:lineRule="exact"/>
        <w:ind w:firstLine="642" w:firstLineChars="200"/>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1.评估方式</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人岗相适评估主要采取结构化面试的方式进行，报名人数超过10人（含10人）时增加笔试环节，笔试后再进行结构化面试，笔试成绩占50%</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结构化面试成绩占50%。总成绩=笔试成绩×50%+结构化面试成绩×50%，总成绩保留小数点后两位小数（四舍五入）。</w:t>
      </w:r>
    </w:p>
    <w:p>
      <w:pPr>
        <w:keepNext w:val="0"/>
        <w:keepLines w:val="0"/>
        <w:pageBreakBefore w:val="0"/>
        <w:kinsoku/>
        <w:overflowPunct/>
        <w:topLinePunct w:val="0"/>
        <w:autoSpaceDE/>
        <w:autoSpaceDN/>
        <w:bidi w:val="0"/>
        <w:adjustRightInd/>
        <w:spacing w:line="560" w:lineRule="exact"/>
        <w:ind w:firstLine="642" w:firstLineChars="200"/>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2.评估内容</w:t>
      </w:r>
    </w:p>
    <w:p>
      <w:pPr>
        <w:pStyle w:val="4"/>
        <w:keepNext w:val="0"/>
        <w:keepLines w:val="0"/>
        <w:pageBreakBefore w:val="0"/>
        <w:kinsoku/>
        <w:overflowPunct/>
        <w:topLinePunct w:val="0"/>
        <w:autoSpaceDE/>
        <w:autoSpaceDN/>
        <w:bidi w:val="0"/>
        <w:adjustRightInd/>
        <w:spacing w:line="560" w:lineRule="exact"/>
        <w:ind w:left="0" w:leftChars="0"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评估主要考察报名人员与岗位相适应的理论水平、专业知识、业务能力、综合素质或工作技能。</w:t>
      </w:r>
    </w:p>
    <w:p>
      <w:pPr>
        <w:keepNext w:val="0"/>
        <w:keepLines w:val="0"/>
        <w:pageBreakBefore w:val="0"/>
        <w:kinsoku/>
        <w:overflowPunct/>
        <w:topLinePunct w:val="0"/>
        <w:autoSpaceDE/>
        <w:autoSpaceDN/>
        <w:bidi w:val="0"/>
        <w:adjustRightInd/>
        <w:spacing w:line="560" w:lineRule="exact"/>
        <w:ind w:firstLine="642" w:firstLineChars="200"/>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3.评估方法</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按照人才引进岗位要求，在笔试中，试卷满分为100分，笔试结束后，立即由专家评估组对照标准答案阅卷评分，笔试成绩及时公布。</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若结构化面试成绩相同，现场进行加试，加试题由专家评估组提前准备，成绩较高者进入下一环节</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在增加笔试的情况下，按总成绩高低等额确定进入下一环节人选，总成绩低于60分（不含60分）的，不得进入下一环节；在考生总成绩相同的情况下，以结构化面试成绩较高者优先进入下一环节。</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本次人才引进工作在成绩公布、体检、考察环节以及拟引进人员公示结束前出现缺额时，按照总成绩从高到低的顺序依次等额进行递补，单独结构化面试成绩低于60分（不含60分）或笔试和结构化面试总</w:t>
      </w:r>
      <w:r>
        <w:rPr>
          <w:rFonts w:hint="eastAsia" w:ascii="仿宋_GB2312" w:hAnsi="仿宋_GB2312" w:eastAsia="仿宋_GB2312" w:cs="仿宋_GB2312"/>
          <w:color w:val="auto"/>
          <w:sz w:val="32"/>
          <w:szCs w:val="32"/>
          <w:highlight w:val="none"/>
          <w:u w:val="none"/>
          <w:lang w:val="en-US" w:eastAsia="zh-CN"/>
        </w:rPr>
        <w:t>成绩</w:t>
      </w:r>
      <w:r>
        <w:rPr>
          <w:rFonts w:hint="eastAsia" w:ascii="仿宋_GB2312" w:hAnsi="仿宋_GB2312" w:eastAsia="仿宋_GB2312" w:cs="仿宋_GB2312"/>
          <w:color w:val="auto"/>
          <w:sz w:val="32"/>
          <w:szCs w:val="32"/>
          <w:highlight w:val="none"/>
          <w:u w:val="none"/>
        </w:rPr>
        <w:t>低于60分（不含60分）的不予递补。</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（五）资格复审</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bookmarkStart w:id="8" w:name="OLE_LINK12"/>
      <w:r>
        <w:rPr>
          <w:rFonts w:hint="eastAsia" w:ascii="仿宋_GB2312" w:hAnsi="仿宋_GB2312" w:eastAsia="仿宋_GB2312" w:cs="仿宋_GB2312"/>
          <w:color w:val="auto"/>
          <w:sz w:val="32"/>
          <w:szCs w:val="32"/>
          <w:highlight w:val="none"/>
          <w:u w:val="none"/>
        </w:rPr>
        <w:t>满洲里市</w:t>
      </w:r>
      <w:bookmarkStart w:id="9" w:name="OLE_LINK2"/>
      <w:r>
        <w:rPr>
          <w:rFonts w:hint="eastAsia" w:ascii="仿宋_GB2312" w:hAnsi="仿宋_GB2312" w:eastAsia="仿宋_GB2312" w:cs="仿宋_GB2312"/>
          <w:color w:val="auto"/>
          <w:sz w:val="32"/>
          <w:szCs w:val="32"/>
          <w:highlight w:val="none"/>
          <w:u w:val="none"/>
        </w:rPr>
        <w:t>农牧水利局</w:t>
      </w:r>
      <w:bookmarkEnd w:id="9"/>
      <w:r>
        <w:rPr>
          <w:rFonts w:hint="eastAsia" w:ascii="仿宋_GB2312" w:hAnsi="仿宋_GB2312" w:eastAsia="仿宋_GB2312" w:cs="仿宋_GB2312"/>
          <w:color w:val="auto"/>
          <w:sz w:val="32"/>
          <w:szCs w:val="32"/>
          <w:highlight w:val="none"/>
          <w:u w:val="none"/>
        </w:rPr>
        <w:t>人才引进工作</w:t>
      </w:r>
      <w:r>
        <w:rPr>
          <w:rFonts w:hint="eastAsia" w:ascii="仿宋_GB2312" w:hAnsi="仿宋_GB2312" w:eastAsia="仿宋_GB2312" w:cs="仿宋_GB2312"/>
          <w:color w:val="auto"/>
          <w:sz w:val="32"/>
          <w:szCs w:val="32"/>
          <w:highlight w:val="none"/>
          <w:u w:val="none"/>
          <w:lang w:val="en-US" w:eastAsia="zh-CN"/>
        </w:rPr>
        <w:t>办公室</w:t>
      </w:r>
      <w:r>
        <w:rPr>
          <w:rFonts w:hint="eastAsia" w:ascii="仿宋_GB2312" w:hAnsi="仿宋_GB2312" w:eastAsia="仿宋_GB2312" w:cs="仿宋_GB2312"/>
          <w:color w:val="auto"/>
          <w:sz w:val="32"/>
          <w:szCs w:val="32"/>
          <w:highlight w:val="none"/>
          <w:u w:val="none"/>
        </w:rPr>
        <w:t>负责电话通知通过人岗相适评估的拟引进人员在5个工作日内提交复审材料及本人人事档案。市人社局对拟引进人员进行资格复审及人事档案审核。人事档案审核标准按照《干部人事档案工作条例》执行。经资格复审及人事档案审核不合格的，取消引进资格；审核合格的，进入体检环节。</w:t>
      </w:r>
      <w:r>
        <w:rPr>
          <w:rFonts w:hint="eastAsia" w:ascii="仿宋_GB2312" w:hAnsi="仿宋_GB2312" w:eastAsia="仿宋_GB2312" w:cs="仿宋_GB2312"/>
          <w:color w:val="auto"/>
          <w:kern w:val="0"/>
          <w:sz w:val="32"/>
          <w:szCs w:val="32"/>
          <w:highlight w:val="none"/>
          <w:u w:val="none"/>
        </w:rPr>
        <w:t>体检时间及地点另行通知。</w:t>
      </w:r>
    </w:p>
    <w:bookmarkEnd w:id="3"/>
    <w:bookmarkEnd w:id="8"/>
    <w:p>
      <w:pPr>
        <w:keepNext w:val="0"/>
        <w:keepLines w:val="0"/>
        <w:pageBreakBefore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四、体检和考察</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bookmarkStart w:id="10" w:name="OLE_LINK9"/>
      <w:r>
        <w:rPr>
          <w:rFonts w:hint="eastAsia" w:ascii="楷体_GB2312" w:hAnsi="楷体_GB2312" w:eastAsia="楷体_GB2312" w:cs="楷体_GB2312"/>
          <w:b/>
          <w:bCs/>
          <w:color w:val="auto"/>
          <w:sz w:val="32"/>
          <w:szCs w:val="32"/>
          <w:highlight w:val="none"/>
          <w:u w:val="none"/>
        </w:rPr>
        <w:t>（一）体检</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体检标准参照《公务员录用体检通用标准》执行，费用自理。体检对象或者用人单位对体检结果有疑问的，可以进行复检。复检应在接到体检结论通知之日起7日内向满洲里市人社局提交复检申请，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（二）考察</w:t>
      </w:r>
    </w:p>
    <w:p>
      <w:pPr>
        <w:pStyle w:val="4"/>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u w:val="none"/>
        </w:rPr>
        <w:t>考察工作由满洲里市农牧水利局人才引进工作领导小组负责组织实施。考察工作突出政治标准，重点考察引进人员是否符合拥护“两个确立”、增强“四个意识”、坚定“四个自信”、做到“两个维护”，是否牢记“三个离不开”、切实增强“五个认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是否“铸牢中华民族共同体意识”等政治要求，坚决把政治上不合格的挡在门外。考察内容主要包括引进人员的思想政治表现、道德品行、能力素质、学习和工作表现、遵纪守法、廉洁自律以及是否需要回避等方面情况。</w:t>
      </w:r>
      <w:r>
        <w:rPr>
          <w:rFonts w:hint="eastAsia" w:ascii="仿宋_GB2312" w:hAnsi="仿宋_GB2312" w:eastAsia="仿宋_GB2312" w:cs="仿宋_GB2312"/>
          <w:color w:val="auto"/>
          <w:kern w:val="0"/>
          <w:sz w:val="32"/>
          <w:szCs w:val="32"/>
          <w:highlight w:val="none"/>
          <w:u w:val="none"/>
        </w:rPr>
        <w:t>一般采取个别谈话、实地走访、审核人事档案、</w:t>
      </w:r>
      <w:r>
        <w:rPr>
          <w:rFonts w:hint="eastAsia" w:ascii="仿宋_GB2312" w:hAnsi="仿宋_GB2312" w:eastAsia="仿宋_GB2312" w:cs="仿宋_GB2312"/>
          <w:color w:val="auto"/>
          <w:sz w:val="32"/>
          <w:szCs w:val="32"/>
          <w:highlight w:val="none"/>
          <w:u w:val="none"/>
        </w:rPr>
        <w:t>征求相关部门单位意见、</w:t>
      </w:r>
      <w:r>
        <w:rPr>
          <w:rFonts w:hint="eastAsia" w:ascii="仿宋_GB2312" w:hAnsi="仿宋_GB2312" w:eastAsia="仿宋_GB2312" w:cs="仿宋_GB2312"/>
          <w:color w:val="auto"/>
          <w:kern w:val="0"/>
          <w:sz w:val="32"/>
          <w:szCs w:val="32"/>
          <w:highlight w:val="none"/>
          <w:u w:val="none"/>
        </w:rPr>
        <w:t>查询社会信用记录、同引进人员面谈等方式，并形成具体的考察结论。</w:t>
      </w:r>
    </w:p>
    <w:bookmarkEnd w:id="10"/>
    <w:p>
      <w:pPr>
        <w:keepNext w:val="0"/>
        <w:keepLines w:val="0"/>
        <w:pageBreakBefore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五、公示及聘用</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bookmarkStart w:id="11" w:name="OLE_LINK10"/>
      <w:r>
        <w:rPr>
          <w:rFonts w:hint="eastAsia" w:ascii="楷体_GB2312" w:hAnsi="楷体_GB2312" w:eastAsia="楷体_GB2312" w:cs="楷体_GB2312"/>
          <w:b/>
          <w:bCs/>
          <w:color w:val="auto"/>
          <w:sz w:val="32"/>
          <w:szCs w:val="32"/>
          <w:highlight w:val="none"/>
          <w:u w:val="none"/>
        </w:rPr>
        <w:t>（一）公示</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根据人岗相适评估、资格复审及档案审核、体检考察等结果召开党组会议研究确定拟引进人员，报市人社局审核，经市人社局党组会议审议通过后，对拟引进人员在满洲里市人民政府网站进行公示，公示期间接受社会监督举报</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公示期不少于5个工作日。</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（二）聘用</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公示期内，对反映有问题的，经满洲里市农牧水利局查有实据且影响引进的，提交市人社局党组会审核后，取消引进资格；公示期满没有问题和反映问题不影响引进的，由市人社局下发引进通知，市委编办</w:t>
      </w:r>
      <w:r>
        <w:rPr>
          <w:rFonts w:hint="eastAsia" w:ascii="仿宋_GB2312" w:hAnsi="仿宋_GB2312" w:eastAsia="仿宋_GB2312" w:cs="仿宋_GB2312"/>
          <w:color w:val="auto"/>
          <w:sz w:val="32"/>
          <w:szCs w:val="32"/>
          <w:highlight w:val="none"/>
          <w:u w:val="none"/>
          <w:lang w:val="en-US" w:eastAsia="zh-CN"/>
        </w:rPr>
        <w:t>依</w:t>
      </w:r>
      <w:r>
        <w:rPr>
          <w:rFonts w:hint="eastAsia" w:ascii="仿宋_GB2312" w:hAnsi="仿宋_GB2312" w:eastAsia="仿宋_GB2312" w:cs="仿宋_GB2312"/>
          <w:color w:val="auto"/>
          <w:sz w:val="32"/>
          <w:szCs w:val="32"/>
          <w:highlight w:val="none"/>
          <w:u w:val="none"/>
        </w:rPr>
        <w:t>据引进通知</w:t>
      </w:r>
      <w:r>
        <w:rPr>
          <w:rFonts w:hint="eastAsia" w:ascii="仿宋_GB2312" w:hAnsi="仿宋_GB2312" w:eastAsia="仿宋_GB2312" w:cs="仿宋_GB2312"/>
          <w:color w:val="auto"/>
          <w:sz w:val="32"/>
          <w:szCs w:val="32"/>
          <w:highlight w:val="none"/>
          <w:u w:val="none"/>
          <w:lang w:val="en-US" w:eastAsia="zh-CN"/>
        </w:rPr>
        <w:t>办理列编注册手续</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市农牧水利局</w:t>
      </w:r>
      <w:r>
        <w:rPr>
          <w:rFonts w:hint="eastAsia" w:ascii="仿宋_GB2312" w:hAnsi="仿宋_GB2312" w:eastAsia="仿宋_GB2312" w:cs="仿宋_GB2312"/>
          <w:color w:val="auto"/>
          <w:sz w:val="32"/>
          <w:szCs w:val="32"/>
          <w:highlight w:val="none"/>
          <w:u w:val="none"/>
        </w:rPr>
        <w:t>为引进人员办理引进手续。</w:t>
      </w:r>
    </w:p>
    <w:p>
      <w:pPr>
        <w:keepNext w:val="0"/>
        <w:keepLines w:val="0"/>
        <w:pageBreakBefore w:val="0"/>
        <w:kinsoku/>
        <w:overflowPunct/>
        <w:topLinePunct w:val="0"/>
        <w:autoSpaceDE/>
        <w:autoSpaceDN/>
        <w:bidi w:val="0"/>
        <w:adjustRightInd/>
        <w:spacing w:line="560" w:lineRule="exact"/>
        <w:ind w:firstLine="642" w:firstLineChars="200"/>
        <w:rPr>
          <w:rFonts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（三）试用期及服务期</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引进人员实行试用期制度，引进人员属初次就业的，试用期为12个月；其他引进人员，试用期一般不超过3个月，情况特殊的，经满洲里市农牧水利局党组研究并报市人社局备案后，可以延长，但最长不得超过6个月。试用期结束后，由满洲里市农牧水利局对引进人员进行考核，考核结果报市人社局备案。考核合格的，予以正式聘用；考核不合格的，办理解聘手续。</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u w:val="none"/>
        </w:rPr>
        <w:t>引进人员在满洲里市最低工作服务年限为五年。对无正当理由不履行最低工作服务年限的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将记入本人干部人事档案</w:t>
      </w:r>
      <w:r>
        <w:rPr>
          <w:rFonts w:hint="eastAsia" w:ascii="仿宋_GB2312" w:hAnsi="仿宋_GB2312" w:eastAsia="仿宋_GB2312" w:cs="仿宋_GB2312"/>
          <w:color w:val="auto"/>
          <w:kern w:val="0"/>
          <w:sz w:val="32"/>
          <w:szCs w:val="32"/>
          <w:highlight w:val="none"/>
          <w:u w:val="none"/>
        </w:rPr>
        <w:t>并追缴回相应补贴资金。</w:t>
      </w:r>
    </w:p>
    <w:bookmarkEnd w:id="11"/>
    <w:p>
      <w:pPr>
        <w:keepNext w:val="0"/>
        <w:keepLines w:val="0"/>
        <w:pageBreakBefore w:val="0"/>
        <w:numPr>
          <w:ilvl w:val="0"/>
          <w:numId w:val="1"/>
        </w:numPr>
        <w:kinsoku/>
        <w:overflowPunct/>
        <w:topLinePunct w:val="0"/>
        <w:autoSpaceDE/>
        <w:autoSpaceDN/>
        <w:bidi w:val="0"/>
        <w:adjustRightInd/>
        <w:spacing w:line="5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纪律和监督</w:t>
      </w:r>
      <w:bookmarkStart w:id="12" w:name="OLE_LINK13"/>
      <w:bookmarkStart w:id="13" w:name="OLE_LINK11"/>
    </w:p>
    <w:p>
      <w:pPr>
        <w:keepNext w:val="0"/>
        <w:keepLines w:val="0"/>
        <w:pageBreakBefore w:val="0"/>
        <w:kinsoku/>
        <w:overflowPunct/>
        <w:topLinePunct w:val="0"/>
        <w:autoSpaceDE/>
        <w:autoSpaceDN/>
        <w:bidi w:val="0"/>
        <w:adjustRightInd/>
        <w:spacing w:line="560" w:lineRule="exact"/>
        <w:ind w:firstLine="642"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（一）</w:t>
      </w:r>
      <w:r>
        <w:rPr>
          <w:rFonts w:hint="eastAsia" w:ascii="楷体" w:hAnsi="楷体" w:eastAsia="楷体" w:cs="仿宋_GB2312"/>
          <w:b/>
          <w:color w:val="auto"/>
          <w:sz w:val="32"/>
          <w:szCs w:val="32"/>
          <w:highlight w:val="none"/>
          <w:u w:val="none"/>
        </w:rPr>
        <w:t>岗位回避。</w:t>
      </w:r>
      <w:r>
        <w:rPr>
          <w:rFonts w:hint="eastAsia" w:ascii="仿宋_GB2312" w:hAnsi="仿宋_GB2312" w:eastAsia="仿宋_GB2312" w:cs="仿宋_GB2312"/>
          <w:color w:val="auto"/>
          <w:sz w:val="32"/>
          <w:szCs w:val="32"/>
          <w:highlight w:val="none"/>
          <w:u w:val="none"/>
        </w:rPr>
        <w:t>报名人员凡与</w:t>
      </w:r>
      <w:r>
        <w:rPr>
          <w:rFonts w:hint="eastAsia" w:ascii="仿宋_GB2312" w:hAnsi="仿宋_GB2312" w:eastAsia="仿宋_GB2312" w:cs="仿宋_GB2312"/>
          <w:color w:val="auto"/>
          <w:sz w:val="32"/>
          <w:szCs w:val="32"/>
          <w:highlight w:val="none"/>
          <w:u w:val="none"/>
          <w:lang w:val="en-US" w:eastAsia="zh-CN"/>
        </w:rPr>
        <w:t>市农牧水利局及所属事业单位</w:t>
      </w:r>
      <w:r>
        <w:rPr>
          <w:rFonts w:hint="eastAsia" w:ascii="仿宋_GB2312" w:hAnsi="仿宋_GB2312" w:eastAsia="仿宋_GB2312" w:cs="仿宋_GB2312"/>
          <w:color w:val="auto"/>
          <w:sz w:val="32"/>
          <w:szCs w:val="32"/>
          <w:highlight w:val="none"/>
          <w:u w:val="none"/>
        </w:rPr>
        <w:t>班子成员有夫妻关系、直系血亲关系、三代以内旁系血亲关系或者近姻亲等关系的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不得报名具有直接上下级领导关系的岗位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以及该单位从事组织人事、纪检监察、审计、财务工作的岗位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并须签订《回避承诺书》。</w:t>
      </w:r>
    </w:p>
    <w:p>
      <w:pPr>
        <w:keepNext w:val="0"/>
        <w:keepLines w:val="0"/>
        <w:pageBreakBefore w:val="0"/>
        <w:kinsoku/>
        <w:overflowPunct/>
        <w:topLinePunct w:val="0"/>
        <w:autoSpaceDE/>
        <w:autoSpaceDN/>
        <w:bidi w:val="0"/>
        <w:adjustRightInd/>
        <w:spacing w:line="560" w:lineRule="exact"/>
        <w:ind w:firstLine="642" w:firstLineChars="200"/>
        <w:rPr>
          <w:rFonts w:ascii="仿宋" w:hAnsi="仿宋" w:eastAsia="仿宋" w:cs="仿宋_GB2312"/>
          <w:color w:val="auto"/>
          <w:sz w:val="32"/>
          <w:szCs w:val="32"/>
          <w:highlight w:val="none"/>
          <w:u w:val="none"/>
        </w:rPr>
      </w:pPr>
      <w:r>
        <w:rPr>
          <w:rFonts w:hint="eastAsia" w:ascii="楷体" w:hAnsi="楷体" w:eastAsia="楷体" w:cs="仿宋_GB2312"/>
          <w:b/>
          <w:color w:val="auto"/>
          <w:sz w:val="32"/>
          <w:szCs w:val="32"/>
          <w:highlight w:val="none"/>
          <w:u w:val="none"/>
        </w:rPr>
        <w:t>（二）履职回避。</w:t>
      </w:r>
      <w:r>
        <w:rPr>
          <w:rFonts w:hint="eastAsia" w:ascii="仿宋_GB2312" w:hAnsi="仿宋_GB2312" w:eastAsia="仿宋_GB2312" w:cs="仿宋_GB2312"/>
          <w:color w:val="auto"/>
          <w:sz w:val="32"/>
          <w:szCs w:val="32"/>
          <w:highlight w:val="none"/>
          <w:u w:val="none"/>
          <w:lang w:val="en-US" w:eastAsia="zh-CN"/>
        </w:rPr>
        <w:t>市农牧水利局及所属事业单位</w:t>
      </w:r>
      <w:r>
        <w:rPr>
          <w:rFonts w:hint="eastAsia" w:ascii="仿宋_GB2312" w:hAnsi="仿宋_GB2312" w:eastAsia="仿宋_GB2312" w:cs="仿宋_GB2312"/>
          <w:color w:val="auto"/>
          <w:sz w:val="32"/>
          <w:szCs w:val="32"/>
          <w:highlight w:val="none"/>
          <w:u w:val="none"/>
        </w:rPr>
        <w:t>参与人才引进的工作人员</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凡涉及与拟引进人员本人有上述亲属关系、利害关系的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以及其他可能影响工作公正履行职责的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应当回避。</w:t>
      </w:r>
    </w:p>
    <w:p>
      <w:pPr>
        <w:keepNext w:val="0"/>
        <w:keepLines w:val="0"/>
        <w:pageBreakBefore w:val="0"/>
        <w:kinsoku/>
        <w:overflowPunct/>
        <w:topLinePunct w:val="0"/>
        <w:autoSpaceDE/>
        <w:autoSpaceDN/>
        <w:bidi w:val="0"/>
        <w:adjustRightInd/>
        <w:spacing w:line="560" w:lineRule="exact"/>
        <w:ind w:firstLine="642" w:firstLineChars="200"/>
        <w:rPr>
          <w:rFonts w:hint="eastAsia" w:ascii="仿宋_GB2312" w:hAnsi="仿宋_GB2312" w:eastAsia="仿宋_GB2312" w:cs="仿宋_GB2312"/>
          <w:color w:val="auto"/>
          <w:sz w:val="32"/>
          <w:szCs w:val="32"/>
          <w:highlight w:val="none"/>
          <w:u w:val="none"/>
          <w:lang w:eastAsia="zh-CN"/>
        </w:rPr>
      </w:pPr>
      <w:r>
        <w:rPr>
          <w:rFonts w:hint="eastAsia" w:ascii="楷体" w:hAnsi="楷体" w:eastAsia="楷体" w:cs="仿宋_GB2312"/>
          <w:b/>
          <w:color w:val="auto"/>
          <w:sz w:val="32"/>
          <w:szCs w:val="32"/>
          <w:highlight w:val="none"/>
          <w:u w:val="none"/>
        </w:rPr>
        <w:t>（三）责任追究。</w:t>
      </w:r>
      <w:r>
        <w:rPr>
          <w:rFonts w:hint="eastAsia" w:ascii="仿宋_GB2312" w:hAnsi="仿宋_GB2312" w:eastAsia="仿宋_GB2312" w:cs="仿宋_GB2312"/>
          <w:color w:val="auto"/>
          <w:sz w:val="32"/>
          <w:szCs w:val="32"/>
          <w:highlight w:val="none"/>
          <w:u w:val="none"/>
        </w:rPr>
        <w:t>人才引进工作全程接受社会监督</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一经发现问题线索、信访举报,按有关规定交由相关部门调查、处理和处分。满洲里市农牧水利局党组对引才工作负全面领导责任</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领导班子主要负责人和直接主管的班子成员承担主要领导责任</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参与决策的领导班子其他成员承担领导责任</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市人社局、评估考核组有关负责人和其他责任人员在各自职责范围内承担相应责任。对违反引才工作有关规定和纪律要求的引进人员</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一经查实</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取消引进资格或解除聘用合同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对违反引才工作有关规定的领导干部和相关责任人员</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视问题性质和情节轻重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给予组织处理或党纪政务处分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涉嫌违法犯罪的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移送司法机关依法处理</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报名咨询电话：0470-3910805</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监督举报电话：0470-391080</w:t>
      </w:r>
      <w:r>
        <w:rPr>
          <w:rFonts w:hint="eastAsia" w:ascii="仿宋_GB2312" w:hAnsi="仿宋_GB2312" w:eastAsia="仿宋_GB2312" w:cs="仿宋_GB2312"/>
          <w:color w:val="auto"/>
          <w:sz w:val="32"/>
          <w:szCs w:val="32"/>
          <w:highlight w:val="none"/>
          <w:u w:val="none"/>
          <w:lang w:val="en-US" w:eastAsia="zh-CN"/>
        </w:rPr>
        <w:t>9</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电话受理时间：上午9:00-12:00</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下午14:30-17:30（工作日）</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本公告由满洲里市农牧水利局人才引进工作领导小组负责解释，未尽事宜按有关规定执行。</w:t>
      </w:r>
    </w:p>
    <w:p>
      <w:pPr>
        <w:keepNext w:val="0"/>
        <w:keepLines w:val="0"/>
        <w:pageBreakBefore w:val="0"/>
        <w:kinsoku/>
        <w:overflowPunct/>
        <w:topLinePunct w:val="0"/>
        <w:autoSpaceDE/>
        <w:autoSpaceDN/>
        <w:bidi w:val="0"/>
        <w:adjustRightInd/>
        <w:spacing w:line="560" w:lineRule="exact"/>
        <w:ind w:left="1920" w:leftChars="305" w:hanging="1280" w:hangingChars="4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附件：1.2025年满洲里市农牧水利局所属事业单位人才引进岗位需求表</w:t>
      </w:r>
    </w:p>
    <w:p>
      <w:pPr>
        <w:keepNext w:val="0"/>
        <w:keepLines w:val="0"/>
        <w:pageBreakBefore w:val="0"/>
        <w:kinsoku/>
        <w:overflowPunct/>
        <w:topLinePunct w:val="0"/>
        <w:autoSpaceDE/>
        <w:autoSpaceDN/>
        <w:bidi w:val="0"/>
        <w:adjustRightInd/>
        <w:spacing w:line="560" w:lineRule="exact"/>
        <w:ind w:left="1725" w:leftChars="703" w:hanging="249" w:hangingChars="78"/>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2.2025年满洲里市农牧水利局所属事业单位人才引进报名表</w:t>
      </w:r>
    </w:p>
    <w:p>
      <w:pPr>
        <w:keepNext w:val="0"/>
        <w:keepLines w:val="0"/>
        <w:pageBreakBefore w:val="0"/>
        <w:kinsoku/>
        <w:overflowPunct/>
        <w:topLinePunct w:val="0"/>
        <w:autoSpaceDE/>
        <w:autoSpaceDN/>
        <w:bidi w:val="0"/>
        <w:adjustRightInd/>
        <w:spacing w:line="560" w:lineRule="exact"/>
        <w:ind w:left="640" w:leftChars="305" w:firstLine="835" w:firstLineChars="261"/>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3.无不得引进情形承诺书</w:t>
      </w:r>
    </w:p>
    <w:p>
      <w:pPr>
        <w:keepNext w:val="0"/>
        <w:keepLines w:val="0"/>
        <w:pageBreakBefore w:val="0"/>
        <w:kinsoku/>
        <w:overflowPunct/>
        <w:topLinePunct w:val="0"/>
        <w:autoSpaceDE/>
        <w:autoSpaceDN/>
        <w:bidi w:val="0"/>
        <w:adjustRightInd/>
        <w:spacing w:line="560" w:lineRule="exact"/>
        <w:ind w:left="630" w:leftChars="300" w:firstLine="844" w:firstLineChars="264"/>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4.回避承诺书</w:t>
      </w:r>
    </w:p>
    <w:p>
      <w:pPr>
        <w:pStyle w:val="2"/>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szCs w:val="32"/>
          <w:highlight w:val="none"/>
          <w:u w:val="none"/>
        </w:rPr>
      </w:pPr>
    </w:p>
    <w:p>
      <w:pPr>
        <w:pStyle w:val="2"/>
        <w:keepNext w:val="0"/>
        <w:keepLines w:val="0"/>
        <w:pageBreakBefore w:val="0"/>
        <w:kinsoku/>
        <w:overflowPunct/>
        <w:topLinePunct w:val="0"/>
        <w:autoSpaceDE/>
        <w:autoSpaceDN/>
        <w:bidi w:val="0"/>
        <w:adjustRightInd/>
        <w:spacing w:line="560" w:lineRule="exact"/>
        <w:ind w:firstLine="0" w:firstLineChars="0"/>
        <w:rPr>
          <w:rFonts w:ascii="仿宋_GB2312" w:hAnsi="仿宋_GB2312" w:cs="仿宋_GB2312"/>
          <w:color w:val="auto"/>
          <w:szCs w:val="32"/>
          <w:highlight w:val="none"/>
          <w:u w:val="none"/>
        </w:rPr>
      </w:pPr>
    </w:p>
    <w:p>
      <w:pPr>
        <w:keepNext w:val="0"/>
        <w:keepLines w:val="0"/>
        <w:pageBreakBefore w:val="0"/>
        <w:kinsoku/>
        <w:overflowPunct/>
        <w:topLinePunct w:val="0"/>
        <w:autoSpaceDE/>
        <w:autoSpaceDN/>
        <w:bidi w:val="0"/>
        <w:adjustRightInd/>
        <w:spacing w:line="560" w:lineRule="exact"/>
        <w:rPr>
          <w:rFonts w:ascii="仿宋_GB2312" w:hAnsi="仿宋_GB2312" w:eastAsia="仿宋_GB2312" w:cs="仿宋_GB2312"/>
          <w:color w:val="auto"/>
          <w:sz w:val="32"/>
          <w:szCs w:val="32"/>
          <w:highlight w:val="none"/>
          <w:u w:val="none"/>
        </w:rPr>
      </w:pPr>
    </w:p>
    <w:bookmarkEnd w:id="12"/>
    <w:p>
      <w:pPr>
        <w:keepNext w:val="0"/>
        <w:keepLines w:val="0"/>
        <w:pageBreakBefore w:val="0"/>
        <w:kinsoku/>
        <w:overflowPunct/>
        <w:topLinePunct w:val="0"/>
        <w:autoSpaceDE/>
        <w:autoSpaceDN/>
        <w:bidi w:val="0"/>
        <w:adjustRightInd/>
        <w:spacing w:line="560" w:lineRule="exact"/>
        <w:rPr>
          <w:rFonts w:ascii="仿宋_GB2312" w:hAnsi="仿宋_GB2312" w:eastAsia="仿宋_GB2312" w:cs="仿宋_GB2312"/>
          <w:color w:val="auto"/>
          <w:sz w:val="32"/>
          <w:szCs w:val="32"/>
          <w:highlight w:val="none"/>
          <w:u w:val="none"/>
        </w:rPr>
      </w:pPr>
    </w:p>
    <w:bookmarkEnd w:id="13"/>
    <w:p>
      <w:pPr>
        <w:keepNext w:val="0"/>
        <w:keepLines w:val="0"/>
        <w:pageBreakBefore w:val="0"/>
        <w:kinsoku/>
        <w:overflowPunct/>
        <w:topLinePunct w:val="0"/>
        <w:autoSpaceDE/>
        <w:autoSpaceDN/>
        <w:bidi w:val="0"/>
        <w:adjustRightInd/>
        <w:spacing w:line="560" w:lineRule="exact"/>
        <w:jc w:val="right"/>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满洲里市农牧水利局人才引进工作领导小组</w:t>
      </w:r>
    </w:p>
    <w:p>
      <w:pPr>
        <w:keepNext w:val="0"/>
        <w:keepLines w:val="0"/>
        <w:pageBreakBefore w:val="0"/>
        <w:kinsoku/>
        <w:overflowPunct/>
        <w:topLinePunct w:val="0"/>
        <w:autoSpaceDE/>
        <w:autoSpaceDN/>
        <w:bidi w:val="0"/>
        <w:adjustRightInd/>
        <w:spacing w:line="560" w:lineRule="exact"/>
        <w:ind w:firstLine="5120" w:firstLineChars="1600"/>
        <w:rPr>
          <w:rFonts w:ascii="仿宋" w:hAnsi="仿宋" w:eastAsia="仿宋" w:cs="仿宋"/>
          <w:color w:val="auto"/>
          <w:sz w:val="32"/>
          <w:szCs w:val="32"/>
          <w:highlight w:val="none"/>
          <w:u w:val="none"/>
        </w:rPr>
        <w:sectPr>
          <w:footerReference r:id="rId3" w:type="default"/>
          <w:pgSz w:w="11906" w:h="16838"/>
          <w:pgMar w:top="2098" w:right="1531" w:bottom="1984" w:left="1531" w:header="851"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u w:val="none"/>
        </w:rPr>
        <w:t>2025年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23</w:t>
      </w:r>
      <w:r>
        <w:rPr>
          <w:rFonts w:hint="eastAsia" w:ascii="仿宋_GB2312" w:hAnsi="仿宋_GB2312" w:eastAsia="仿宋_GB2312" w:cs="仿宋_GB2312"/>
          <w:color w:val="auto"/>
          <w:sz w:val="32"/>
          <w:szCs w:val="32"/>
          <w:highlight w:val="none"/>
          <w:u w:val="none"/>
        </w:rPr>
        <w:t>日</w:t>
      </w:r>
    </w:p>
    <w:p>
      <w:pPr>
        <w:spacing w:line="400" w:lineRule="exact"/>
        <w:jc w:val="left"/>
        <w:rPr>
          <w:rFonts w:ascii="CESI黑体-GB2312" w:hAnsi="CESI黑体-GB2312" w:eastAsia="CESI黑体-GB2312" w:cs="CESI黑体-GB2312"/>
          <w:color w:val="auto"/>
          <w:kern w:val="0"/>
          <w:sz w:val="32"/>
          <w:szCs w:val="32"/>
          <w:highlight w:val="none"/>
          <w:u w:val="none"/>
        </w:rPr>
      </w:pPr>
      <w:r>
        <w:rPr>
          <w:rFonts w:hint="eastAsia" w:ascii="CESI黑体-GB2312" w:hAnsi="CESI黑体-GB2312" w:eastAsia="CESI黑体-GB2312" w:cs="CESI黑体-GB2312"/>
          <w:color w:val="auto"/>
          <w:kern w:val="0"/>
          <w:sz w:val="32"/>
          <w:szCs w:val="32"/>
          <w:highlight w:val="none"/>
          <w:u w:val="none"/>
        </w:rPr>
        <w:t>附件1</w:t>
      </w:r>
    </w:p>
    <w:tbl>
      <w:tblPr>
        <w:tblStyle w:val="9"/>
        <w:tblpPr w:leftFromText="180" w:rightFromText="180" w:vertAnchor="text" w:horzAnchor="page" w:tblpX="691" w:tblpY="371"/>
        <w:tblOverlap w:val="never"/>
        <w:tblW w:w="15949" w:type="dxa"/>
        <w:tblInd w:w="0" w:type="dxa"/>
        <w:tblLayout w:type="fixed"/>
        <w:tblCellMar>
          <w:top w:w="0" w:type="dxa"/>
          <w:left w:w="108" w:type="dxa"/>
          <w:bottom w:w="0" w:type="dxa"/>
          <w:right w:w="108" w:type="dxa"/>
        </w:tblCellMar>
      </w:tblPr>
      <w:tblGrid>
        <w:gridCol w:w="621"/>
        <w:gridCol w:w="1243"/>
        <w:gridCol w:w="1018"/>
        <w:gridCol w:w="986"/>
        <w:gridCol w:w="2893"/>
        <w:gridCol w:w="835"/>
        <w:gridCol w:w="847"/>
        <w:gridCol w:w="525"/>
        <w:gridCol w:w="2893"/>
        <w:gridCol w:w="846"/>
        <w:gridCol w:w="1371"/>
        <w:gridCol w:w="1200"/>
        <w:gridCol w:w="671"/>
      </w:tblGrid>
      <w:tr>
        <w:tblPrEx>
          <w:tblCellMar>
            <w:top w:w="0" w:type="dxa"/>
            <w:left w:w="108" w:type="dxa"/>
            <w:bottom w:w="0" w:type="dxa"/>
            <w:right w:w="108" w:type="dxa"/>
          </w:tblCellMar>
        </w:tblPrEx>
        <w:trPr>
          <w:trHeight w:val="795" w:hRule="atLeast"/>
        </w:trPr>
        <w:tc>
          <w:tcPr>
            <w:tcW w:w="15949" w:type="dxa"/>
            <w:gridSpan w:val="13"/>
            <w:tcBorders>
              <w:top w:val="nil"/>
              <w:left w:val="nil"/>
              <w:bottom w:val="single" w:color="auto" w:sz="4" w:space="0"/>
              <w:right w:val="nil"/>
            </w:tcBorders>
            <w:shd w:val="clear" w:color="auto" w:fill="auto"/>
            <w:noWrap/>
            <w:vAlign w:val="center"/>
          </w:tcPr>
          <w:p>
            <w:pPr>
              <w:widowControl/>
              <w:jc w:val="center"/>
              <w:textAlignment w:val="center"/>
              <w:rPr>
                <w:rFonts w:ascii="宋体" w:hAnsi="宋体" w:cs="宋体"/>
                <w:b/>
                <w:bCs/>
                <w:color w:val="auto"/>
                <w:kern w:val="0"/>
                <w:sz w:val="20"/>
                <w:szCs w:val="20"/>
                <w:highlight w:val="none"/>
                <w:u w:val="none"/>
              </w:rPr>
            </w:pPr>
            <w:r>
              <w:rPr>
                <w:rStyle w:val="14"/>
                <w:rFonts w:hint="default"/>
                <w:color w:val="auto"/>
                <w:highlight w:val="none"/>
                <w:u w:val="none"/>
              </w:rPr>
              <w:t>202</w:t>
            </w:r>
            <w:r>
              <w:rPr>
                <w:rStyle w:val="14"/>
                <w:color w:val="auto"/>
                <w:highlight w:val="none"/>
                <w:u w:val="none"/>
              </w:rPr>
              <w:t>5</w:t>
            </w:r>
            <w:r>
              <w:rPr>
                <w:rStyle w:val="14"/>
                <w:rFonts w:hint="default"/>
                <w:color w:val="auto"/>
                <w:highlight w:val="none"/>
                <w:u w:val="none"/>
              </w:rPr>
              <w:t>年满洲里</w:t>
            </w:r>
            <w:r>
              <w:rPr>
                <w:rStyle w:val="14"/>
                <w:color w:val="auto"/>
                <w:highlight w:val="none"/>
                <w:u w:val="none"/>
              </w:rPr>
              <w:t>市农牧水利局所属事业单位人才引进岗位需求表</w:t>
            </w:r>
          </w:p>
        </w:tc>
      </w:tr>
      <w:tr>
        <w:tblPrEx>
          <w:tblCellMar>
            <w:top w:w="0" w:type="dxa"/>
            <w:left w:w="108" w:type="dxa"/>
            <w:bottom w:w="0" w:type="dxa"/>
            <w:right w:w="108" w:type="dxa"/>
          </w:tblCellMar>
        </w:tblPrEx>
        <w:trPr>
          <w:trHeight w:val="795" w:hRule="atLeast"/>
        </w:trPr>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序号</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主管</w:t>
            </w:r>
          </w:p>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部门</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引进</w:t>
            </w:r>
          </w:p>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单位</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岗位</w:t>
            </w:r>
          </w:p>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名称</w:t>
            </w:r>
          </w:p>
        </w:tc>
        <w:tc>
          <w:tcPr>
            <w:tcW w:w="28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专业</w:t>
            </w:r>
          </w:p>
        </w:tc>
        <w:tc>
          <w:tcPr>
            <w:tcW w:w="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学历</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学位</w:t>
            </w: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人数</w:t>
            </w:r>
          </w:p>
        </w:tc>
        <w:tc>
          <w:tcPr>
            <w:tcW w:w="28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岗位条件</w:t>
            </w:r>
          </w:p>
        </w:tc>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联系人</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联系电话</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电子邮箱</w:t>
            </w: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0"/>
                <w:szCs w:val="20"/>
                <w:highlight w:val="none"/>
                <w:u w:val="none"/>
              </w:rPr>
            </w:pPr>
            <w:r>
              <w:rPr>
                <w:rFonts w:hint="eastAsia" w:ascii="宋体" w:hAnsi="宋体" w:cs="宋体"/>
                <w:b/>
                <w:bCs/>
                <w:color w:val="auto"/>
                <w:kern w:val="0"/>
                <w:sz w:val="20"/>
                <w:szCs w:val="20"/>
                <w:highlight w:val="none"/>
                <w:u w:val="none"/>
              </w:rPr>
              <w:t>备注</w:t>
            </w:r>
          </w:p>
        </w:tc>
      </w:tr>
      <w:tr>
        <w:tblPrEx>
          <w:tblCellMar>
            <w:top w:w="0" w:type="dxa"/>
            <w:left w:w="108" w:type="dxa"/>
            <w:bottom w:w="0" w:type="dxa"/>
            <w:right w:w="108" w:type="dxa"/>
          </w:tblCellMar>
        </w:tblPrEx>
        <w:trPr>
          <w:trHeight w:val="90" w:hRule="atLeast"/>
        </w:trPr>
        <w:tc>
          <w:tcPr>
            <w:tcW w:w="62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1</w:t>
            </w:r>
          </w:p>
        </w:tc>
        <w:tc>
          <w:tcPr>
            <w:tcW w:w="124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满洲里市</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农牧水利局</w:t>
            </w:r>
          </w:p>
        </w:tc>
        <w:tc>
          <w:tcPr>
            <w:tcW w:w="101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满洲里市</w:t>
            </w:r>
          </w:p>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水利事业</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发展中心</w:t>
            </w:r>
          </w:p>
        </w:tc>
        <w:tc>
          <w:tcPr>
            <w:tcW w:w="9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专业</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技术岗1</w:t>
            </w:r>
          </w:p>
        </w:tc>
        <w:tc>
          <w:tcPr>
            <w:tcW w:w="28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本科：</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宋体" w:hAnsi="宋体" w:cs="宋体"/>
                <w:color w:val="auto"/>
                <w:sz w:val="18"/>
                <w:szCs w:val="18"/>
                <w:highlight w:val="none"/>
                <w:u w:val="none"/>
              </w:rPr>
            </w:pPr>
            <w:r>
              <w:rPr>
                <w:rFonts w:hint="eastAsia" w:ascii="宋体" w:hAnsi="宋体" w:cs="宋体"/>
                <w:color w:val="auto"/>
                <w:sz w:val="18"/>
                <w:szCs w:val="18"/>
                <w:highlight w:val="none"/>
                <w:u w:val="none"/>
              </w:rPr>
              <w:t>0811水利类</w:t>
            </w:r>
          </w:p>
          <w:p>
            <w:pPr>
              <w:pStyle w:val="4"/>
              <w:keepNext w:val="0"/>
              <w:keepLines w:val="0"/>
              <w:pageBreakBefore w:val="0"/>
              <w:kinsoku/>
              <w:wordWrap/>
              <w:overflowPunct/>
              <w:topLinePunct w:val="0"/>
              <w:autoSpaceDE/>
              <w:autoSpaceDN/>
              <w:bidi w:val="0"/>
              <w:adjustRightInd/>
              <w:snapToGrid/>
              <w:spacing w:line="20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研究生：</w:t>
            </w:r>
          </w:p>
          <w:p>
            <w:pPr>
              <w:pStyle w:val="4"/>
              <w:keepNext w:val="0"/>
              <w:keepLines w:val="0"/>
              <w:pageBreakBefore w:val="0"/>
              <w:kinsoku/>
              <w:wordWrap/>
              <w:overflowPunct/>
              <w:topLinePunct w:val="0"/>
              <w:autoSpaceDE/>
              <w:autoSpaceDN/>
              <w:bidi w:val="0"/>
              <w:adjustRightInd/>
              <w:snapToGrid/>
              <w:spacing w:line="20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081500水利工程、</w:t>
            </w:r>
          </w:p>
          <w:p>
            <w:pPr>
              <w:pStyle w:val="4"/>
              <w:keepNext w:val="0"/>
              <w:keepLines w:val="0"/>
              <w:pageBreakBefore w:val="0"/>
              <w:kinsoku/>
              <w:wordWrap/>
              <w:overflowPunct/>
              <w:topLinePunct w:val="0"/>
              <w:autoSpaceDE/>
              <w:autoSpaceDN/>
              <w:bidi w:val="0"/>
              <w:adjustRightInd/>
              <w:snapToGrid/>
              <w:spacing w:line="20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081501水文学及水资源、</w:t>
            </w:r>
          </w:p>
          <w:p>
            <w:pPr>
              <w:pStyle w:val="4"/>
              <w:keepNext w:val="0"/>
              <w:keepLines w:val="0"/>
              <w:pageBreakBefore w:val="0"/>
              <w:kinsoku/>
              <w:wordWrap/>
              <w:overflowPunct/>
              <w:topLinePunct w:val="0"/>
              <w:autoSpaceDE/>
              <w:autoSpaceDN/>
              <w:bidi w:val="0"/>
              <w:adjustRightInd/>
              <w:snapToGrid/>
              <w:spacing w:line="20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081502水力学及河流动力学、</w:t>
            </w:r>
          </w:p>
          <w:p>
            <w:pPr>
              <w:pStyle w:val="4"/>
              <w:keepNext w:val="0"/>
              <w:keepLines w:val="0"/>
              <w:pageBreakBefore w:val="0"/>
              <w:kinsoku/>
              <w:wordWrap/>
              <w:overflowPunct/>
              <w:topLinePunct w:val="0"/>
              <w:autoSpaceDE/>
              <w:autoSpaceDN/>
              <w:bidi w:val="0"/>
              <w:adjustRightInd/>
              <w:snapToGrid/>
              <w:spacing w:line="20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081503水工结构工程、</w:t>
            </w:r>
          </w:p>
          <w:p>
            <w:pPr>
              <w:pStyle w:val="4"/>
              <w:keepNext w:val="0"/>
              <w:keepLines w:val="0"/>
              <w:pageBreakBefore w:val="0"/>
              <w:kinsoku/>
              <w:wordWrap/>
              <w:overflowPunct/>
              <w:topLinePunct w:val="0"/>
              <w:autoSpaceDE/>
              <w:autoSpaceDN/>
              <w:bidi w:val="0"/>
              <w:adjustRightInd/>
              <w:snapToGrid/>
              <w:spacing w:line="20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081504水利水电工程、</w:t>
            </w:r>
          </w:p>
          <w:p>
            <w:pPr>
              <w:pStyle w:val="4"/>
              <w:keepNext w:val="0"/>
              <w:keepLines w:val="0"/>
              <w:pageBreakBefore w:val="0"/>
              <w:kinsoku/>
              <w:wordWrap/>
              <w:overflowPunct/>
              <w:topLinePunct w:val="0"/>
              <w:autoSpaceDE/>
              <w:autoSpaceDN/>
              <w:bidi w:val="0"/>
              <w:adjustRightInd/>
              <w:snapToGrid/>
              <w:spacing w:line="20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085900土木水利、</w:t>
            </w:r>
          </w:p>
          <w:p>
            <w:pPr>
              <w:pStyle w:val="4"/>
              <w:keepNext w:val="0"/>
              <w:keepLines w:val="0"/>
              <w:pageBreakBefore w:val="0"/>
              <w:kinsoku/>
              <w:wordWrap/>
              <w:overflowPunct/>
              <w:topLinePunct w:val="0"/>
              <w:autoSpaceDE/>
              <w:autoSpaceDN/>
              <w:bidi w:val="0"/>
              <w:adjustRightInd/>
              <w:snapToGrid/>
              <w:spacing w:line="200" w:lineRule="exact"/>
              <w:ind w:left="0" w:leftChars="0" w:firstLine="0" w:firstLineChars="0"/>
              <w:jc w:val="left"/>
              <w:rPr>
                <w:rFonts w:ascii="宋体" w:hAnsi="宋体" w:cs="宋体"/>
                <w:color w:val="auto"/>
                <w:sz w:val="20"/>
                <w:szCs w:val="20"/>
                <w:highlight w:val="none"/>
                <w:u w:val="none"/>
              </w:rPr>
            </w:pPr>
            <w:r>
              <w:rPr>
                <w:rFonts w:hint="eastAsia" w:ascii="宋体" w:hAnsi="宋体" w:cs="宋体"/>
                <w:color w:val="auto"/>
                <w:sz w:val="18"/>
                <w:szCs w:val="18"/>
                <w:highlight w:val="none"/>
                <w:u w:val="none"/>
                <w:lang w:val="en-US" w:eastAsia="zh-CN"/>
              </w:rPr>
              <w:t>085902水利工程</w:t>
            </w:r>
          </w:p>
        </w:tc>
        <w:tc>
          <w:tcPr>
            <w:tcW w:w="83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lang w:val="en-US" w:eastAsia="zh-CN"/>
              </w:rPr>
              <w:t>本</w:t>
            </w:r>
            <w:r>
              <w:rPr>
                <w:rFonts w:hint="eastAsia" w:ascii="宋体" w:hAnsi="宋体" w:cs="宋体"/>
                <w:color w:val="auto"/>
                <w:sz w:val="20"/>
                <w:szCs w:val="20"/>
                <w:highlight w:val="none"/>
                <w:u w:val="none"/>
              </w:rPr>
              <w:t>科</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及以上</w:t>
            </w:r>
          </w:p>
        </w:tc>
        <w:tc>
          <w:tcPr>
            <w:tcW w:w="84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不限</w:t>
            </w:r>
          </w:p>
        </w:tc>
        <w:tc>
          <w:tcPr>
            <w:tcW w:w="52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1</w:t>
            </w:r>
          </w:p>
        </w:tc>
        <w:tc>
          <w:tcPr>
            <w:tcW w:w="289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具备水利工程专业副高级及以上职称，45周岁以下。</w:t>
            </w:r>
          </w:p>
        </w:tc>
        <w:tc>
          <w:tcPr>
            <w:tcW w:w="84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王姝彤</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李青春</w:t>
            </w:r>
          </w:p>
        </w:tc>
        <w:tc>
          <w:tcPr>
            <w:tcW w:w="137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04703910822</w:t>
            </w:r>
          </w:p>
          <w:p>
            <w:pPr>
              <w:pStyle w:val="4"/>
              <w:ind w:left="0" w:leftChars="0" w:firstLine="0" w:firstLineChars="0"/>
              <w:jc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lang w:val="en-US" w:eastAsia="zh-CN"/>
              </w:rPr>
              <w:t>04703910805</w:t>
            </w: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mzlnmsljrs</w:t>
            </w:r>
          </w:p>
          <w:p>
            <w:pPr>
              <w:widowControl/>
              <w:jc w:val="center"/>
              <w:textAlignment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rPr>
              <w:t>@126.com</w:t>
            </w:r>
            <w:r>
              <w:rPr>
                <w:color w:val="auto"/>
                <w:highlight w:val="none"/>
                <w:u w:val="none"/>
              </w:rPr>
              <w:fldChar w:fldCharType="begin"/>
            </w:r>
            <w:r>
              <w:rPr>
                <w:color w:val="auto"/>
                <w:highlight w:val="none"/>
                <w:u w:val="none"/>
              </w:rPr>
              <w:instrText xml:space="preserve"> HYPERLINK "mailto:hzqgwhxzb@163.com" </w:instrText>
            </w:r>
            <w:r>
              <w:rPr>
                <w:color w:val="auto"/>
                <w:highlight w:val="none"/>
                <w:u w:val="none"/>
              </w:rPr>
              <w:fldChar w:fldCharType="separate"/>
            </w:r>
            <w:r>
              <w:rPr>
                <w:color w:val="auto"/>
                <w:highlight w:val="none"/>
                <w:u w:val="none"/>
              </w:rPr>
              <w:fldChar w:fldCharType="end"/>
            </w:r>
          </w:p>
        </w:tc>
        <w:tc>
          <w:tcPr>
            <w:tcW w:w="67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u w:val="none"/>
              </w:rPr>
            </w:pPr>
          </w:p>
        </w:tc>
      </w:tr>
      <w:tr>
        <w:tblPrEx>
          <w:tblCellMar>
            <w:top w:w="0" w:type="dxa"/>
            <w:left w:w="108" w:type="dxa"/>
            <w:bottom w:w="0" w:type="dxa"/>
            <w:right w:w="108" w:type="dxa"/>
          </w:tblCellMar>
        </w:tblPrEx>
        <w:trPr>
          <w:trHeight w:val="187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满洲里市</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农牧水利局</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满洲里市</w:t>
            </w:r>
          </w:p>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水利事业</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发展中心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专业</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技术岗2</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本科：</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宋体" w:hAnsi="宋体" w:cs="宋体"/>
                <w:color w:val="auto"/>
                <w:sz w:val="18"/>
                <w:szCs w:val="18"/>
                <w:highlight w:val="none"/>
                <w:u w:val="none"/>
              </w:rPr>
            </w:pPr>
            <w:r>
              <w:rPr>
                <w:rFonts w:hint="eastAsia" w:ascii="宋体" w:hAnsi="宋体" w:cs="宋体"/>
                <w:color w:val="auto"/>
                <w:sz w:val="18"/>
                <w:szCs w:val="18"/>
                <w:highlight w:val="none"/>
                <w:u w:val="none"/>
              </w:rPr>
              <w:t>0810土木类</w:t>
            </w:r>
          </w:p>
          <w:p>
            <w:pPr>
              <w:pStyle w:val="4"/>
              <w:keepNext w:val="0"/>
              <w:keepLines w:val="0"/>
              <w:pageBreakBefore w:val="0"/>
              <w:kinsoku/>
              <w:wordWrap/>
              <w:overflowPunct/>
              <w:topLinePunct w:val="0"/>
              <w:autoSpaceDE/>
              <w:autoSpaceDN/>
              <w:bidi w:val="0"/>
              <w:adjustRightInd/>
              <w:snapToGrid/>
              <w:spacing w:line="22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研究生：</w:t>
            </w:r>
          </w:p>
          <w:p>
            <w:pPr>
              <w:pStyle w:val="4"/>
              <w:keepNext w:val="0"/>
              <w:keepLines w:val="0"/>
              <w:pageBreakBefore w:val="0"/>
              <w:kinsoku/>
              <w:wordWrap/>
              <w:overflowPunct/>
              <w:topLinePunct w:val="0"/>
              <w:autoSpaceDE/>
              <w:autoSpaceDN/>
              <w:bidi w:val="0"/>
              <w:adjustRightInd/>
              <w:snapToGrid/>
              <w:spacing w:line="22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081400土木工程、</w:t>
            </w:r>
          </w:p>
          <w:p>
            <w:pPr>
              <w:pStyle w:val="4"/>
              <w:keepNext w:val="0"/>
              <w:keepLines w:val="0"/>
              <w:pageBreakBefore w:val="0"/>
              <w:kinsoku/>
              <w:wordWrap/>
              <w:overflowPunct/>
              <w:topLinePunct w:val="0"/>
              <w:autoSpaceDE/>
              <w:autoSpaceDN/>
              <w:bidi w:val="0"/>
              <w:adjustRightInd/>
              <w:snapToGrid/>
              <w:spacing w:line="22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081401岩土工程、</w:t>
            </w:r>
          </w:p>
          <w:p>
            <w:pPr>
              <w:pStyle w:val="4"/>
              <w:keepNext w:val="0"/>
              <w:keepLines w:val="0"/>
              <w:pageBreakBefore w:val="0"/>
              <w:kinsoku/>
              <w:wordWrap/>
              <w:overflowPunct/>
              <w:topLinePunct w:val="0"/>
              <w:autoSpaceDE/>
              <w:autoSpaceDN/>
              <w:bidi w:val="0"/>
              <w:adjustRightInd/>
              <w:snapToGrid/>
              <w:spacing w:line="22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081402结构工程、</w:t>
            </w:r>
          </w:p>
          <w:p>
            <w:pPr>
              <w:pStyle w:val="4"/>
              <w:keepNext w:val="0"/>
              <w:keepLines w:val="0"/>
              <w:pageBreakBefore w:val="0"/>
              <w:kinsoku/>
              <w:wordWrap/>
              <w:overflowPunct/>
              <w:topLinePunct w:val="0"/>
              <w:autoSpaceDE/>
              <w:autoSpaceDN/>
              <w:bidi w:val="0"/>
              <w:adjustRightInd/>
              <w:snapToGrid/>
              <w:spacing w:line="22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081405防灾减灾工程及防护工程、</w:t>
            </w:r>
          </w:p>
          <w:p>
            <w:pPr>
              <w:pStyle w:val="4"/>
              <w:keepNext w:val="0"/>
              <w:keepLines w:val="0"/>
              <w:pageBreakBefore w:val="0"/>
              <w:kinsoku/>
              <w:wordWrap/>
              <w:overflowPunct/>
              <w:topLinePunct w:val="0"/>
              <w:autoSpaceDE/>
              <w:autoSpaceDN/>
              <w:bidi w:val="0"/>
              <w:adjustRightInd/>
              <w:snapToGrid/>
              <w:spacing w:line="220" w:lineRule="exact"/>
              <w:ind w:left="0" w:leftChars="0" w:firstLine="0" w:firstLineChars="0"/>
              <w:jc w:val="left"/>
              <w:rPr>
                <w:rFonts w:hint="eastAsia" w:ascii="宋体" w:hAnsi="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085900土木水利、</w:t>
            </w:r>
          </w:p>
          <w:p>
            <w:pPr>
              <w:pStyle w:val="4"/>
              <w:keepNext w:val="0"/>
              <w:keepLines w:val="0"/>
              <w:pageBreakBefore w:val="0"/>
              <w:kinsoku/>
              <w:wordWrap/>
              <w:overflowPunct/>
              <w:topLinePunct w:val="0"/>
              <w:autoSpaceDE/>
              <w:autoSpaceDN/>
              <w:bidi w:val="0"/>
              <w:adjustRightInd/>
              <w:snapToGrid/>
              <w:spacing w:line="220" w:lineRule="exact"/>
              <w:ind w:left="0" w:leftChars="0" w:firstLine="0" w:firstLineChars="0"/>
              <w:jc w:val="left"/>
              <w:rPr>
                <w:rFonts w:ascii="宋体" w:hAnsi="宋体" w:cs="宋体"/>
                <w:color w:val="auto"/>
                <w:sz w:val="20"/>
                <w:szCs w:val="20"/>
                <w:highlight w:val="none"/>
                <w:u w:val="none"/>
              </w:rPr>
            </w:pPr>
            <w:r>
              <w:rPr>
                <w:rFonts w:hint="eastAsia" w:ascii="宋体" w:hAnsi="宋体" w:cs="宋体"/>
                <w:color w:val="auto"/>
                <w:sz w:val="18"/>
                <w:szCs w:val="18"/>
                <w:highlight w:val="none"/>
                <w:u w:val="none"/>
                <w:lang w:val="en-US" w:eastAsia="zh-CN"/>
              </w:rPr>
              <w:t>085901土木工程</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本科</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及以上</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rPr>
              <w:t>不限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1</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具备水利工程专业副高级及以上职称，45周岁以下。</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王姝彤</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李青春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04703910822</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lang w:val="en-US" w:eastAsia="zh-CN"/>
              </w:rPr>
              <w:t>04703910805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mzlnmsljrs</w:t>
            </w:r>
          </w:p>
          <w:p>
            <w:pPr>
              <w:widowControl/>
              <w:jc w:val="center"/>
              <w:textAlignment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rPr>
              <w:t>@126.com</w:t>
            </w:r>
            <w:r>
              <w:rPr>
                <w:color w:val="auto"/>
                <w:highlight w:val="none"/>
                <w:u w:val="none"/>
              </w:rPr>
              <w:fldChar w:fldCharType="begin"/>
            </w:r>
            <w:r>
              <w:rPr>
                <w:color w:val="auto"/>
                <w:highlight w:val="none"/>
                <w:u w:val="none"/>
              </w:rPr>
              <w:instrText xml:space="preserve"> HYPERLINK "mailto:hzqgwhxzb@163.com" </w:instrText>
            </w:r>
            <w:r>
              <w:rPr>
                <w:color w:val="auto"/>
                <w:highlight w:val="none"/>
                <w:u w:val="none"/>
              </w:rPr>
              <w:fldChar w:fldCharType="separate"/>
            </w:r>
            <w:r>
              <w:rPr>
                <w:color w:val="auto"/>
                <w:highlight w:val="none"/>
                <w:u w:val="none"/>
              </w:rPr>
              <w:fldChar w:fldCharType="end"/>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u w:val="none"/>
              </w:rPr>
            </w:pPr>
          </w:p>
        </w:tc>
      </w:tr>
      <w:tr>
        <w:tblPrEx>
          <w:tblCellMar>
            <w:top w:w="0" w:type="dxa"/>
            <w:left w:w="108" w:type="dxa"/>
            <w:bottom w:w="0" w:type="dxa"/>
            <w:right w:w="108" w:type="dxa"/>
          </w:tblCellMar>
        </w:tblPrEx>
        <w:trPr>
          <w:trHeight w:val="1889"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满洲里市农牧水利局</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满洲里市动物疫病预防控制中心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专业</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技术岗</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18"/>
                <w:szCs w:val="18"/>
                <w:highlight w:val="none"/>
                <w:u w:val="none"/>
              </w:rPr>
            </w:pPr>
            <w:r>
              <w:rPr>
                <w:rFonts w:hint="eastAsia" w:ascii="宋体" w:hAnsi="宋体" w:cs="宋体"/>
                <w:color w:val="auto"/>
                <w:sz w:val="18"/>
                <w:szCs w:val="18"/>
                <w:highlight w:val="none"/>
                <w:u w:val="none"/>
              </w:rPr>
              <w:t>本科：</w:t>
            </w:r>
          </w:p>
          <w:p>
            <w:pPr>
              <w:widowControl/>
              <w:jc w:val="left"/>
              <w:textAlignment w:val="center"/>
              <w:rPr>
                <w:rFonts w:ascii="宋体" w:hAnsi="宋体" w:cs="宋体"/>
                <w:color w:val="auto"/>
                <w:sz w:val="18"/>
                <w:szCs w:val="18"/>
                <w:highlight w:val="none"/>
                <w:u w:val="none"/>
              </w:rPr>
            </w:pPr>
            <w:r>
              <w:rPr>
                <w:rFonts w:hint="eastAsia" w:ascii="宋体" w:hAnsi="宋体" w:cs="宋体"/>
                <w:color w:val="auto"/>
                <w:sz w:val="18"/>
                <w:szCs w:val="18"/>
                <w:highlight w:val="none"/>
                <w:u w:val="none"/>
              </w:rPr>
              <w:t>0904动物医学类</w:t>
            </w:r>
          </w:p>
          <w:p>
            <w:pPr>
              <w:widowControl/>
              <w:jc w:val="left"/>
              <w:textAlignment w:val="center"/>
              <w:rPr>
                <w:rFonts w:hint="eastAsia" w:ascii="宋体" w:hAnsi="宋体" w:cs="宋体"/>
                <w:color w:val="auto"/>
                <w:sz w:val="18"/>
                <w:szCs w:val="18"/>
                <w:highlight w:val="none"/>
                <w:u w:val="none"/>
              </w:rPr>
            </w:pPr>
            <w:r>
              <w:rPr>
                <w:rFonts w:hint="eastAsia" w:ascii="宋体" w:hAnsi="宋体" w:cs="宋体"/>
                <w:color w:val="auto"/>
                <w:sz w:val="18"/>
                <w:szCs w:val="18"/>
                <w:highlight w:val="none"/>
                <w:u w:val="none"/>
              </w:rPr>
              <w:t>研究生：</w:t>
            </w:r>
          </w:p>
          <w:p>
            <w:pPr>
              <w:widowControl/>
              <w:jc w:val="left"/>
              <w:textAlignment w:val="center"/>
              <w:rPr>
                <w:rFonts w:hint="eastAsia" w:ascii="宋体" w:hAnsi="宋体" w:cs="宋体"/>
                <w:color w:val="auto"/>
                <w:sz w:val="18"/>
                <w:szCs w:val="18"/>
                <w:highlight w:val="none"/>
                <w:u w:val="none"/>
              </w:rPr>
            </w:pPr>
            <w:r>
              <w:rPr>
                <w:rFonts w:hint="eastAsia" w:ascii="宋体" w:hAnsi="宋体" w:cs="宋体"/>
                <w:color w:val="auto"/>
                <w:sz w:val="18"/>
                <w:szCs w:val="18"/>
                <w:highlight w:val="none"/>
                <w:u w:val="none"/>
              </w:rPr>
              <w:t>0906兽医学类、</w:t>
            </w:r>
          </w:p>
          <w:p>
            <w:pPr>
              <w:widowControl/>
              <w:jc w:val="left"/>
              <w:textAlignment w:val="center"/>
              <w:rPr>
                <w:rFonts w:ascii="宋体" w:hAnsi="宋体" w:cs="宋体"/>
                <w:color w:val="auto"/>
                <w:sz w:val="20"/>
                <w:szCs w:val="20"/>
                <w:highlight w:val="none"/>
                <w:u w:val="none"/>
              </w:rPr>
            </w:pPr>
            <w:r>
              <w:rPr>
                <w:rFonts w:hint="eastAsia" w:ascii="宋体" w:hAnsi="宋体" w:cs="宋体"/>
                <w:color w:val="auto"/>
                <w:sz w:val="18"/>
                <w:szCs w:val="18"/>
                <w:highlight w:val="none"/>
                <w:u w:val="none"/>
              </w:rPr>
              <w:t>095200兽医</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本科及以上</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学士</w:t>
            </w:r>
          </w:p>
          <w:p>
            <w:pPr>
              <w:widowControl/>
              <w:jc w:val="center"/>
              <w:textAlignment w:val="center"/>
              <w:rPr>
                <w:rFonts w:hint="eastAsia" w:eastAsia="宋体"/>
                <w:lang w:eastAsia="zh-CN"/>
              </w:rPr>
            </w:pPr>
            <w:r>
              <w:rPr>
                <w:rFonts w:hint="eastAsia" w:ascii="宋体" w:hAnsi="宋体" w:cs="宋体"/>
                <w:color w:val="auto"/>
                <w:sz w:val="20"/>
                <w:szCs w:val="20"/>
                <w:highlight w:val="none"/>
                <w:u w:val="none"/>
                <w:lang w:eastAsia="zh-CN"/>
              </w:rPr>
              <w:t>学位</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及以上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1</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lang w:val="en-US" w:eastAsia="zh-CN"/>
              </w:rPr>
              <w:t>1.</w:t>
            </w:r>
            <w:r>
              <w:rPr>
                <w:rFonts w:hint="eastAsia" w:ascii="宋体" w:hAnsi="宋体" w:cs="宋体"/>
                <w:color w:val="auto"/>
                <w:sz w:val="20"/>
                <w:szCs w:val="20"/>
                <w:highlight w:val="none"/>
                <w:u w:val="none"/>
              </w:rPr>
              <w:t>本科：具有一流大学、一流学科建设高校或原“985”“211”高校全日制本科学历并取得相应学位。</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lang w:val="en-US" w:eastAsia="zh-CN"/>
              </w:rPr>
              <w:t>2.</w:t>
            </w:r>
            <w:r>
              <w:rPr>
                <w:rFonts w:hint="eastAsia" w:ascii="宋体" w:hAnsi="宋体" w:cs="宋体"/>
                <w:color w:val="auto"/>
                <w:sz w:val="20"/>
                <w:szCs w:val="20"/>
                <w:highlight w:val="none"/>
                <w:u w:val="none"/>
              </w:rPr>
              <w:t>研究生：具有全日制硕士研究生及以上学历并取得相应学位。</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lang w:eastAsia="zh-CN"/>
              </w:rPr>
              <w:t>（</w:t>
            </w:r>
            <w:r>
              <w:rPr>
                <w:rFonts w:hint="eastAsia" w:ascii="宋体" w:hAnsi="宋体" w:cs="宋体"/>
                <w:color w:val="auto"/>
                <w:sz w:val="20"/>
                <w:szCs w:val="20"/>
                <w:highlight w:val="none"/>
                <w:u w:val="none"/>
              </w:rPr>
              <w:t>条件艰苦，需要值夜班</w:t>
            </w:r>
            <w:r>
              <w:rPr>
                <w:rFonts w:hint="eastAsia" w:ascii="宋体" w:hAnsi="宋体" w:cs="宋体"/>
                <w:color w:val="auto"/>
                <w:sz w:val="20"/>
                <w:szCs w:val="20"/>
                <w:highlight w:val="none"/>
                <w:u w:val="none"/>
                <w:lang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秦闻迪</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rPr>
              <w:t>李青春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04703910816</w:t>
            </w:r>
          </w:p>
          <w:p>
            <w:pPr>
              <w:widowControl/>
              <w:jc w:val="center"/>
              <w:textAlignment w:val="center"/>
              <w:rPr>
                <w:rFonts w:ascii="宋体" w:hAnsi="宋体" w:cs="宋体"/>
                <w:color w:val="auto"/>
                <w:sz w:val="20"/>
                <w:szCs w:val="20"/>
                <w:highlight w:val="none"/>
                <w:u w:val="none"/>
              </w:rPr>
            </w:pPr>
            <w:r>
              <w:rPr>
                <w:rFonts w:hint="eastAsia" w:ascii="宋体" w:hAnsi="宋体" w:cs="宋体"/>
                <w:color w:val="auto"/>
                <w:sz w:val="20"/>
                <w:szCs w:val="20"/>
                <w:highlight w:val="none"/>
                <w:u w:val="none"/>
                <w:lang w:val="en-US" w:eastAsia="zh-CN"/>
              </w:rPr>
              <w:t>04703910805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mzlnmsljrs</w:t>
            </w:r>
          </w:p>
          <w:p>
            <w:pPr>
              <w:widowControl/>
              <w:jc w:val="center"/>
              <w:textAlignment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rPr>
              <w:t>@126.com</w:t>
            </w:r>
            <w:r>
              <w:rPr>
                <w:color w:val="auto"/>
                <w:highlight w:val="none"/>
                <w:u w:val="none"/>
              </w:rPr>
              <w:fldChar w:fldCharType="begin"/>
            </w:r>
            <w:r>
              <w:rPr>
                <w:color w:val="auto"/>
                <w:highlight w:val="none"/>
                <w:u w:val="none"/>
              </w:rPr>
              <w:instrText xml:space="preserve"> HYPERLINK "mailto:hzqgwhxzb@163.com" </w:instrText>
            </w:r>
            <w:r>
              <w:rPr>
                <w:color w:val="auto"/>
                <w:highlight w:val="none"/>
                <w:u w:val="none"/>
              </w:rPr>
              <w:fldChar w:fldCharType="separate"/>
            </w:r>
            <w:r>
              <w:rPr>
                <w:color w:val="auto"/>
                <w:highlight w:val="none"/>
                <w:u w:val="none"/>
              </w:rPr>
              <w:fldChar w:fldCharType="end"/>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u w:val="none"/>
              </w:rPr>
            </w:pPr>
          </w:p>
        </w:tc>
      </w:tr>
    </w:tbl>
    <w:p>
      <w:pPr>
        <w:rPr>
          <w:color w:val="auto"/>
          <w:highlight w:val="none"/>
          <w:u w:val="none"/>
        </w:rPr>
        <w:sectPr>
          <w:footerReference r:id="rId4" w:type="default"/>
          <w:pgSz w:w="16838" w:h="11906" w:orient="landscape"/>
          <w:pgMar w:top="1803" w:right="1440" w:bottom="1803" w:left="1440" w:header="851" w:footer="992" w:gutter="0"/>
          <w:pgNumType w:fmt="decimal"/>
          <w:cols w:space="0" w:num="1"/>
          <w:docGrid w:type="lines" w:linePitch="319" w:charSpace="0"/>
        </w:sectPr>
      </w:pPr>
      <w:bookmarkStart w:id="15" w:name="_GoBack"/>
      <w:bookmarkEnd w:id="15"/>
    </w:p>
    <w:tbl>
      <w:tblPr>
        <w:tblStyle w:val="9"/>
        <w:tblW w:w="10558" w:type="dxa"/>
        <w:jc w:val="center"/>
        <w:tblLayout w:type="fixed"/>
        <w:tblCellMar>
          <w:top w:w="0" w:type="dxa"/>
          <w:left w:w="108" w:type="dxa"/>
          <w:bottom w:w="0" w:type="dxa"/>
          <w:right w:w="108" w:type="dxa"/>
        </w:tblCellMar>
      </w:tblPr>
      <w:tblGrid>
        <w:gridCol w:w="2256"/>
        <w:gridCol w:w="1297"/>
        <w:gridCol w:w="1876"/>
        <w:gridCol w:w="1647"/>
        <w:gridCol w:w="1526"/>
        <w:gridCol w:w="1956"/>
      </w:tblGrid>
      <w:tr>
        <w:tblPrEx>
          <w:tblCellMar>
            <w:top w:w="0" w:type="dxa"/>
            <w:left w:w="108" w:type="dxa"/>
            <w:bottom w:w="0" w:type="dxa"/>
            <w:right w:w="108" w:type="dxa"/>
          </w:tblCellMar>
        </w:tblPrEx>
        <w:trPr>
          <w:trHeight w:val="90" w:hRule="atLeast"/>
          <w:jc w:val="center"/>
        </w:trPr>
        <w:tc>
          <w:tcPr>
            <w:tcW w:w="3553" w:type="dxa"/>
            <w:gridSpan w:val="2"/>
            <w:tcBorders>
              <w:top w:val="nil"/>
              <w:left w:val="nil"/>
              <w:bottom w:val="nil"/>
              <w:right w:val="nil"/>
            </w:tcBorders>
            <w:shd w:val="clear" w:color="auto" w:fill="auto"/>
            <w:vAlign w:val="center"/>
          </w:tcPr>
          <w:p>
            <w:pPr>
              <w:widowControl/>
              <w:spacing w:line="500" w:lineRule="exact"/>
              <w:jc w:val="left"/>
              <w:rPr>
                <w:rFonts w:ascii="宋体" w:hAnsi="宋体" w:cs="宋体"/>
                <w:b/>
                <w:bCs/>
                <w:color w:val="auto"/>
                <w:kern w:val="0"/>
                <w:sz w:val="32"/>
                <w:szCs w:val="32"/>
                <w:highlight w:val="none"/>
                <w:u w:val="none"/>
              </w:rPr>
            </w:pPr>
            <w:bookmarkStart w:id="14" w:name="OLE_LINK14"/>
            <w:r>
              <w:rPr>
                <w:rFonts w:hint="eastAsia" w:ascii="CESI黑体-GB2312" w:hAnsi="CESI黑体-GB2312" w:eastAsia="CESI黑体-GB2312" w:cs="CESI黑体-GB2312"/>
                <w:color w:val="auto"/>
                <w:kern w:val="0"/>
                <w:sz w:val="32"/>
                <w:szCs w:val="32"/>
                <w:highlight w:val="none"/>
                <w:u w:val="none"/>
              </w:rPr>
              <w:t>附件2</w:t>
            </w:r>
          </w:p>
        </w:tc>
        <w:tc>
          <w:tcPr>
            <w:tcW w:w="1876"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u w:val="none"/>
              </w:rPr>
            </w:pPr>
          </w:p>
        </w:tc>
        <w:tc>
          <w:tcPr>
            <w:tcW w:w="1647"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u w:val="none"/>
              </w:rPr>
            </w:pPr>
          </w:p>
        </w:tc>
        <w:tc>
          <w:tcPr>
            <w:tcW w:w="1526"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u w:val="none"/>
              </w:rPr>
            </w:pPr>
          </w:p>
        </w:tc>
        <w:tc>
          <w:tcPr>
            <w:tcW w:w="1956" w:type="dxa"/>
            <w:tcBorders>
              <w:top w:val="nil"/>
              <w:left w:val="nil"/>
              <w:bottom w:val="nil"/>
              <w:right w:val="nil"/>
            </w:tcBorders>
            <w:shd w:val="clear" w:color="auto" w:fill="auto"/>
            <w:vAlign w:val="center"/>
          </w:tcPr>
          <w:p>
            <w:pPr>
              <w:widowControl/>
              <w:spacing w:line="500" w:lineRule="exact"/>
              <w:jc w:val="left"/>
              <w:rPr>
                <w:rFonts w:ascii="宋体" w:hAnsi="宋体" w:cs="宋体"/>
                <w:color w:val="auto"/>
                <w:kern w:val="0"/>
                <w:sz w:val="24"/>
                <w:highlight w:val="none"/>
                <w:u w:val="none"/>
              </w:rPr>
            </w:pPr>
          </w:p>
        </w:tc>
      </w:tr>
      <w:tr>
        <w:tblPrEx>
          <w:tblCellMar>
            <w:top w:w="0" w:type="dxa"/>
            <w:left w:w="108" w:type="dxa"/>
            <w:bottom w:w="0" w:type="dxa"/>
            <w:right w:w="108" w:type="dxa"/>
          </w:tblCellMar>
        </w:tblPrEx>
        <w:trPr>
          <w:trHeight w:val="783" w:hRule="atLeast"/>
          <w:jc w:val="center"/>
        </w:trPr>
        <w:tc>
          <w:tcPr>
            <w:tcW w:w="10558" w:type="dxa"/>
            <w:gridSpan w:val="6"/>
            <w:tcBorders>
              <w:top w:val="nil"/>
              <w:left w:val="nil"/>
              <w:bottom w:val="nil"/>
              <w:right w:val="nil"/>
            </w:tcBorders>
            <w:shd w:val="clear" w:color="auto" w:fill="auto"/>
            <w:vAlign w:val="center"/>
          </w:tcPr>
          <w:p>
            <w:pPr>
              <w:widowControl/>
              <w:spacing w:line="500" w:lineRule="exact"/>
              <w:jc w:val="center"/>
              <w:rPr>
                <w:rFonts w:ascii="方正小标宋简体" w:hAnsi="宋体" w:eastAsia="方正小标宋简体" w:cs="宋体"/>
                <w:color w:val="auto"/>
                <w:kern w:val="0"/>
                <w:sz w:val="40"/>
                <w:szCs w:val="40"/>
                <w:highlight w:val="none"/>
                <w:u w:val="none"/>
              </w:rPr>
            </w:pPr>
            <w:r>
              <w:rPr>
                <w:rFonts w:hint="eastAsia" w:ascii="方正小标宋简体" w:hAnsi="宋体" w:eastAsia="方正小标宋简体" w:cs="宋体"/>
                <w:color w:val="auto"/>
                <w:kern w:val="0"/>
                <w:sz w:val="40"/>
                <w:szCs w:val="40"/>
                <w:highlight w:val="none"/>
                <w:u w:val="none"/>
              </w:rPr>
              <w:t>2025年满洲里市农牧水利局所属事业单位人才引进报名表</w:t>
            </w:r>
          </w:p>
        </w:tc>
      </w:tr>
      <w:tr>
        <w:tblPrEx>
          <w:tblCellMar>
            <w:top w:w="0" w:type="dxa"/>
            <w:left w:w="108" w:type="dxa"/>
            <w:bottom w:w="0" w:type="dxa"/>
            <w:right w:w="108" w:type="dxa"/>
          </w:tblCellMar>
        </w:tblPrEx>
        <w:trPr>
          <w:trHeight w:val="510" w:hRule="atLeast"/>
          <w:jc w:val="center"/>
        </w:trPr>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报名单位主管部门</w:t>
            </w:r>
          </w:p>
        </w:tc>
        <w:tc>
          <w:tcPr>
            <w:tcW w:w="63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2寸彩色免冠照片</w:t>
            </w:r>
          </w:p>
        </w:tc>
      </w:tr>
      <w:tr>
        <w:tblPrEx>
          <w:tblCellMar>
            <w:top w:w="0" w:type="dxa"/>
            <w:left w:w="108" w:type="dxa"/>
            <w:bottom w:w="0" w:type="dxa"/>
            <w:right w:w="108" w:type="dxa"/>
          </w:tblCellMar>
        </w:tblPrEx>
        <w:trPr>
          <w:trHeight w:val="51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报名单位及岗位类别</w:t>
            </w:r>
          </w:p>
        </w:tc>
        <w:tc>
          <w:tcPr>
            <w:tcW w:w="63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51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姓名</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性别</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51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身份证号码</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民族</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51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政治面貌</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出生日期</w:t>
            </w:r>
          </w:p>
        </w:tc>
        <w:tc>
          <w:tcPr>
            <w:tcW w:w="15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51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联系电话</w:t>
            </w:r>
          </w:p>
        </w:tc>
        <w:tc>
          <w:tcPr>
            <w:tcW w:w="317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电子邮箱</w:t>
            </w:r>
          </w:p>
        </w:tc>
        <w:tc>
          <w:tcPr>
            <w:tcW w:w="348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510" w:hRule="atLeast"/>
          <w:jc w:val="center"/>
        </w:trPr>
        <w:tc>
          <w:tcPr>
            <w:tcW w:w="22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全日制教育</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510" w:hRule="atLeast"/>
          <w:jc w:val="center"/>
        </w:trPr>
        <w:tc>
          <w:tcPr>
            <w:tcW w:w="22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510" w:hRule="atLeast"/>
          <w:jc w:val="center"/>
        </w:trPr>
        <w:tc>
          <w:tcPr>
            <w:tcW w:w="22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在职教育</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510" w:hRule="atLeast"/>
          <w:jc w:val="center"/>
        </w:trPr>
        <w:tc>
          <w:tcPr>
            <w:tcW w:w="22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51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专业技术资格名称</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资格级别</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51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现户籍所在地</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现工作单位</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51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家庭住址</w:t>
            </w:r>
          </w:p>
        </w:tc>
        <w:tc>
          <w:tcPr>
            <w:tcW w:w="830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w:t>
            </w:r>
          </w:p>
        </w:tc>
      </w:tr>
      <w:tr>
        <w:tblPrEx>
          <w:tblCellMar>
            <w:top w:w="0" w:type="dxa"/>
            <w:left w:w="108" w:type="dxa"/>
            <w:bottom w:w="0" w:type="dxa"/>
            <w:right w:w="108" w:type="dxa"/>
          </w:tblCellMar>
        </w:tblPrEx>
        <w:trPr>
          <w:trHeight w:val="1264"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简历</w:t>
            </w:r>
          </w:p>
          <w:p>
            <w:pPr>
              <w:widowControl/>
              <w:spacing w:line="460" w:lineRule="exact"/>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（从高等教育阶段    填起）</w:t>
            </w:r>
          </w:p>
        </w:tc>
        <w:tc>
          <w:tcPr>
            <w:tcW w:w="83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p>
        </w:tc>
      </w:tr>
      <w:tr>
        <w:tblPrEx>
          <w:tblCellMar>
            <w:top w:w="0" w:type="dxa"/>
            <w:left w:w="108" w:type="dxa"/>
            <w:bottom w:w="0" w:type="dxa"/>
            <w:right w:w="108" w:type="dxa"/>
          </w:tblCellMar>
        </w:tblPrEx>
        <w:trPr>
          <w:trHeight w:val="90" w:hRule="atLeast"/>
          <w:jc w:val="center"/>
        </w:trPr>
        <w:tc>
          <w:tcPr>
            <w:tcW w:w="54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本人承诺：</w:t>
            </w:r>
          </w:p>
          <w:p>
            <w:pPr>
              <w:widowControl/>
              <w:spacing w:line="460" w:lineRule="exact"/>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我承诺，以上信息真实正确，本人符合报名岗位引进条件，若有弄虚作假行为，自愿放弃引进资格。</w:t>
            </w:r>
          </w:p>
          <w:p>
            <w:pPr>
              <w:widowControl/>
              <w:spacing w:beforeLines="50"/>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承诺人签字：</w:t>
            </w:r>
          </w:p>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年    月     日</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单位审核</w:t>
            </w:r>
          </w:p>
          <w:p>
            <w:pPr>
              <w:widowControl/>
              <w:jc w:val="center"/>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意见</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审核人签字： </w:t>
            </w:r>
          </w:p>
          <w:p>
            <w:pPr>
              <w:pStyle w:val="4"/>
              <w:ind w:left="420"/>
              <w:rPr>
                <w:color w:val="auto"/>
                <w:highlight w:val="none"/>
                <w:u w:val="none"/>
              </w:rPr>
            </w:pPr>
          </w:p>
          <w:p>
            <w:pPr>
              <w:pStyle w:val="4"/>
              <w:ind w:left="420"/>
              <w:rPr>
                <w:color w:val="auto"/>
                <w:highlight w:val="none"/>
                <w:u w:val="none"/>
              </w:rPr>
            </w:pPr>
          </w:p>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（单位盖章）</w:t>
            </w:r>
          </w:p>
          <w:p>
            <w:pPr>
              <w:widowControl/>
              <w:jc w:val="left"/>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 xml:space="preserve">           年      月      日</w:t>
            </w:r>
          </w:p>
        </w:tc>
      </w:tr>
    </w:tbl>
    <w:p>
      <w:pPr>
        <w:widowControl/>
        <w:jc w:val="left"/>
        <w:rPr>
          <w:rFonts w:ascii="CESI黑体-GB2312" w:hAnsi="CESI黑体-GB2312" w:eastAsia="CESI黑体-GB2312" w:cs="CESI黑体-GB2312"/>
          <w:color w:val="auto"/>
          <w:kern w:val="0"/>
          <w:sz w:val="32"/>
          <w:szCs w:val="32"/>
          <w:highlight w:val="none"/>
          <w:u w:val="none"/>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pPr>
        <w:widowControl/>
        <w:jc w:val="left"/>
        <w:rPr>
          <w:rFonts w:ascii="宋体" w:hAnsi="宋体" w:cs="宋体"/>
          <w:b/>
          <w:bCs/>
          <w:color w:val="auto"/>
          <w:kern w:val="0"/>
          <w:sz w:val="32"/>
          <w:szCs w:val="32"/>
          <w:highlight w:val="none"/>
          <w:u w:val="none"/>
        </w:rPr>
      </w:pPr>
      <w:r>
        <w:rPr>
          <w:rFonts w:hint="eastAsia" w:ascii="CESI黑体-GB2312" w:hAnsi="CESI黑体-GB2312" w:eastAsia="CESI黑体-GB2312" w:cs="CESI黑体-GB2312"/>
          <w:color w:val="auto"/>
          <w:kern w:val="0"/>
          <w:sz w:val="32"/>
          <w:szCs w:val="32"/>
          <w:highlight w:val="none"/>
          <w:u w:val="none"/>
        </w:rPr>
        <w:t>附件3</w:t>
      </w:r>
    </w:p>
    <w:p>
      <w:pPr>
        <w:widowControl/>
        <w:jc w:val="center"/>
        <w:rPr>
          <w:rFonts w:ascii="方正小标宋简体" w:hAnsi="宋体" w:eastAsia="方正小标宋简体" w:cs="宋体"/>
          <w:color w:val="auto"/>
          <w:kern w:val="0"/>
          <w:sz w:val="40"/>
          <w:szCs w:val="40"/>
          <w:highlight w:val="none"/>
          <w:u w:val="none"/>
        </w:rPr>
      </w:pPr>
      <w:r>
        <w:rPr>
          <w:rFonts w:hint="eastAsia" w:ascii="方正小标宋简体" w:hAnsi="宋体" w:eastAsia="方正小标宋简体" w:cs="宋体"/>
          <w:color w:val="auto"/>
          <w:kern w:val="0"/>
          <w:sz w:val="40"/>
          <w:szCs w:val="40"/>
          <w:highlight w:val="none"/>
          <w:u w:val="none"/>
        </w:rPr>
        <w:t>无不得引进情形承诺书</w:t>
      </w:r>
    </w:p>
    <w:p>
      <w:pPr>
        <w:spacing w:line="600" w:lineRule="exact"/>
        <w:jc w:val="center"/>
        <w:rPr>
          <w:rFonts w:ascii="黑体" w:hAnsi="黑体" w:eastAsia="黑体" w:cs="黑体"/>
          <w:color w:val="auto"/>
          <w:sz w:val="44"/>
          <w:szCs w:val="44"/>
          <w:highlight w:val="none"/>
          <w:u w:val="none"/>
        </w:rPr>
      </w:pP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本人承诺无以下不得引进情形：</w:t>
      </w: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（1）在读的普通高等学校全日制专科生、本科生、研究生(不含应届毕业生);</w:t>
      </w: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（2）试用期内和未满最低服务年限的机关、事业单位工作人员;</w:t>
      </w: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（3）有犯罪记录的;被开除中国共产党党籍和公职的;在立案审查期间或党纪、政务处分影响期内或者期满影响聘用的;曾被依法列为失信联合惩戒对象的人员;</w:t>
      </w: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（4）被辞退的公务员、参照公务员法管理人员、事业单位工作人员;</w:t>
      </w: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（5）在公务员招考或事业单位公开招聘中被认定有舞弊等严重违反录用(聘用)纪律行为并在禁考期限内的人员;</w:t>
      </w: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（6）现役军人;</w:t>
      </w: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（7）引进后即构成回避关系岗位的人员;</w:t>
      </w: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（8）法律法规规定不得聘用为事业单位工作人员的其他情形人员。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highlight w:val="none"/>
          <w:u w:val="none"/>
        </w:rPr>
      </w:pPr>
    </w:p>
    <w:p>
      <w:pPr>
        <w:spacing w:line="60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承诺人(签字)：</w:t>
      </w:r>
    </w:p>
    <w:p>
      <w:pPr>
        <w:ind w:firstLine="5280" w:firstLineChars="1650"/>
        <w:rPr>
          <w:rFonts w:ascii="仿宋_GB2312" w:hAnsi="仿宋_GB2312" w:eastAsia="仿宋_GB2312" w:cs="仿宋_GB2312"/>
          <w:color w:val="auto"/>
          <w:sz w:val="32"/>
          <w:szCs w:val="32"/>
          <w:highlight w:val="none"/>
          <w:u w:val="none"/>
        </w:rPr>
      </w:pPr>
    </w:p>
    <w:p>
      <w:pPr>
        <w:ind w:firstLine="5280" w:firstLineChars="165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年   月   日</w:t>
      </w:r>
    </w:p>
    <w:p>
      <w:pPr>
        <w:rPr>
          <w:color w:val="auto"/>
          <w:highlight w:val="none"/>
          <w:u w:val="none"/>
        </w:rPr>
      </w:pPr>
    </w:p>
    <w:p>
      <w:pPr>
        <w:pStyle w:val="4"/>
        <w:ind w:left="420"/>
        <w:rPr>
          <w:color w:val="auto"/>
          <w:highlight w:val="none"/>
          <w:u w:val="none"/>
        </w:rPr>
      </w:pPr>
    </w:p>
    <w:p>
      <w:pPr>
        <w:widowControl/>
        <w:jc w:val="left"/>
        <w:rPr>
          <w:rFonts w:hint="eastAsia" w:ascii="CESI黑体-GB2312" w:hAnsi="CESI黑体-GB2312" w:eastAsia="CESI黑体-GB2312" w:cs="CESI黑体-GB2312"/>
          <w:color w:val="auto"/>
          <w:kern w:val="0"/>
          <w:sz w:val="32"/>
          <w:szCs w:val="32"/>
          <w:highlight w:val="none"/>
          <w:u w:val="none"/>
        </w:rPr>
      </w:pPr>
      <w:r>
        <w:rPr>
          <w:rFonts w:hint="eastAsia" w:ascii="CESI黑体-GB2312" w:hAnsi="CESI黑体-GB2312" w:eastAsia="CESI黑体-GB2312" w:cs="CESI黑体-GB2312"/>
          <w:color w:val="auto"/>
          <w:kern w:val="0"/>
          <w:sz w:val="32"/>
          <w:szCs w:val="32"/>
          <w:highlight w:val="none"/>
          <w:u w:val="none"/>
        </w:rPr>
        <w:t>附件4</w:t>
      </w:r>
    </w:p>
    <w:p>
      <w:pPr>
        <w:spacing w:line="560" w:lineRule="exact"/>
        <w:rPr>
          <w:b/>
          <w:color w:val="auto"/>
          <w:sz w:val="44"/>
          <w:szCs w:val="44"/>
          <w:highlight w:val="none"/>
          <w:u w:val="none"/>
        </w:rPr>
      </w:pPr>
    </w:p>
    <w:p>
      <w:pPr>
        <w:widowControl/>
        <w:jc w:val="center"/>
        <w:rPr>
          <w:rFonts w:ascii="方正小标宋简体" w:hAnsi="宋体" w:eastAsia="方正小标宋简体" w:cs="宋体"/>
          <w:color w:val="auto"/>
          <w:kern w:val="0"/>
          <w:sz w:val="40"/>
          <w:szCs w:val="40"/>
          <w:highlight w:val="none"/>
          <w:u w:val="none"/>
        </w:rPr>
      </w:pPr>
      <w:r>
        <w:rPr>
          <w:rFonts w:hint="eastAsia" w:ascii="方正小标宋简体" w:hAnsi="宋体" w:eastAsia="方正小标宋简体" w:cs="宋体"/>
          <w:color w:val="auto"/>
          <w:kern w:val="0"/>
          <w:sz w:val="40"/>
          <w:szCs w:val="40"/>
          <w:highlight w:val="none"/>
          <w:u w:val="none"/>
        </w:rPr>
        <w:t>回避承诺书</w:t>
      </w:r>
    </w:p>
    <w:p>
      <w:pPr>
        <w:spacing w:line="560" w:lineRule="exact"/>
        <w:rPr>
          <w:color w:val="auto"/>
          <w:sz w:val="32"/>
          <w:szCs w:val="32"/>
          <w:highlight w:val="none"/>
          <w:u w:val="none"/>
        </w:rPr>
      </w:pP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本人与满洲里市农牧水利局</w:t>
      </w:r>
      <w:r>
        <w:rPr>
          <w:rFonts w:hint="eastAsia" w:ascii="仿宋_GB2312" w:hAnsi="仿宋_GB2312" w:eastAsia="仿宋_GB2312" w:cs="仿宋_GB2312"/>
          <w:color w:val="auto"/>
          <w:sz w:val="32"/>
          <w:szCs w:val="32"/>
          <w:highlight w:val="none"/>
          <w:u w:val="none"/>
          <w:lang w:val="en-US" w:eastAsia="zh-CN"/>
        </w:rPr>
        <w:t>及所属事业单位</w:t>
      </w:r>
      <w:r>
        <w:rPr>
          <w:rFonts w:hint="eastAsia" w:ascii="仿宋_GB2312" w:hAnsi="仿宋_GB2312" w:eastAsia="仿宋_GB2312" w:cs="仿宋_GB2312"/>
          <w:color w:val="auto"/>
          <w:sz w:val="32"/>
          <w:szCs w:val="32"/>
          <w:highlight w:val="none"/>
          <w:u w:val="none"/>
        </w:rPr>
        <w:t>领导班子成员不存在下列回避情形:</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一、夫妻关系。</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四、近姻亲关系，包括配偶的父母、配偶的兄弟姐妹及其配偶、子女的配偶及子女配偶的父母、三代以内旁系血亲的配偶。</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以上承诺真实有效。</w:t>
      </w:r>
    </w:p>
    <w:p>
      <w:pPr>
        <w:spacing w:line="560" w:lineRule="exact"/>
        <w:rPr>
          <w:rFonts w:ascii="仿宋_GB2312" w:hAnsi="仿宋_GB2312" w:eastAsia="仿宋_GB2312" w:cs="仿宋_GB2312"/>
          <w:color w:val="auto"/>
          <w:sz w:val="32"/>
          <w:szCs w:val="32"/>
          <w:highlight w:val="none"/>
          <w:u w:val="none"/>
        </w:rPr>
      </w:pPr>
    </w:p>
    <w:p>
      <w:pPr>
        <w:pStyle w:val="4"/>
        <w:ind w:left="420"/>
        <w:rPr>
          <w:color w:val="auto"/>
          <w:highlight w:val="none"/>
          <w:u w:val="none"/>
        </w:rPr>
      </w:pPr>
    </w:p>
    <w:p>
      <w:pPr>
        <w:rPr>
          <w:color w:val="auto"/>
          <w:highlight w:val="none"/>
          <w:u w:val="none"/>
        </w:rPr>
      </w:pPr>
    </w:p>
    <w:p>
      <w:pPr>
        <w:spacing w:line="560" w:lineRule="exact"/>
        <w:ind w:firstLine="5120" w:firstLineChars="16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承诺人(签字)：</w:t>
      </w:r>
    </w:p>
    <w:p>
      <w:pPr>
        <w:rPr>
          <w:rFonts w:ascii="仿宋_GB2312" w:hAnsi="仿宋_GB2312" w:eastAsia="仿宋_GB2312" w:cs="仿宋_GB2312"/>
          <w:color w:val="auto"/>
          <w:sz w:val="32"/>
          <w:szCs w:val="32"/>
          <w:highlight w:val="none"/>
          <w:u w:val="none"/>
        </w:rPr>
      </w:pPr>
    </w:p>
    <w:p>
      <w:pPr>
        <w:ind w:firstLine="5280" w:firstLineChars="1650"/>
        <w:rPr>
          <w:color w:val="auto"/>
          <w:highlight w:val="none"/>
          <w:u w:val="none"/>
        </w:rPr>
      </w:pPr>
      <w:r>
        <w:rPr>
          <w:rFonts w:hint="eastAsia" w:ascii="仿宋_GB2312" w:hAnsi="仿宋_GB2312" w:eastAsia="仿宋_GB2312" w:cs="仿宋_GB2312"/>
          <w:color w:val="auto"/>
          <w:sz w:val="32"/>
          <w:szCs w:val="32"/>
          <w:highlight w:val="none"/>
          <w:u w:val="none"/>
        </w:rPr>
        <w:t>年   月   日</w:t>
      </w:r>
      <w:bookmarkEnd w:id="14"/>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-353695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8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G7SAo1gAAAAgBAAAPAAAAAAAAAAEAIAAA&#10;ADgAAABkcnMvZG93bnJldi54bWxQSwECFAAUAAAACACHTuJAa4X5+zECAABhBAAADgAAAAAAAAAB&#10;ACAAAAA7AQAAZHJzL2Uyb0RvYy54bWxQSwUGAAAAAAYABgBZAQAA3gUAAAAA&#10;">
              <v:fill on="f" focussize="0,0"/>
              <v:stroke on="f" weight="0.5pt"/>
              <v:imagedata o:title=""/>
              <o:lock v:ext="edit" aspectratio="f"/>
              <v:textbox inset="0mm,0mm,0mm,0mm" style="mso-fit-shape-to-text:t;">
                <w:txbxContent>
                  <w:p>
                    <w:pPr>
                      <w:pStyle w:val="6"/>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67D8"/>
    <w:multiLevelType w:val="singleLevel"/>
    <w:tmpl w:val="92B267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ZWFkOTk3OTVkOWRjMDNlMWE3NDNjMDg2MzcyZGYifQ=="/>
  </w:docVars>
  <w:rsids>
    <w:rsidRoot w:val="55F16F36"/>
    <w:rsid w:val="00552AD5"/>
    <w:rsid w:val="00700302"/>
    <w:rsid w:val="00772850"/>
    <w:rsid w:val="00C6430B"/>
    <w:rsid w:val="01067C6D"/>
    <w:rsid w:val="01CC7CF9"/>
    <w:rsid w:val="01F36FCC"/>
    <w:rsid w:val="01FD2D02"/>
    <w:rsid w:val="02AD2556"/>
    <w:rsid w:val="02C40969"/>
    <w:rsid w:val="03425450"/>
    <w:rsid w:val="03DE35EF"/>
    <w:rsid w:val="04455AD9"/>
    <w:rsid w:val="0484270C"/>
    <w:rsid w:val="051048C1"/>
    <w:rsid w:val="05C313AC"/>
    <w:rsid w:val="05DA1CAE"/>
    <w:rsid w:val="063672F8"/>
    <w:rsid w:val="06B86323"/>
    <w:rsid w:val="06E2664A"/>
    <w:rsid w:val="078A2181"/>
    <w:rsid w:val="07E01340"/>
    <w:rsid w:val="08233C21"/>
    <w:rsid w:val="08305436"/>
    <w:rsid w:val="08674142"/>
    <w:rsid w:val="0888458F"/>
    <w:rsid w:val="08AC25CB"/>
    <w:rsid w:val="09B278C7"/>
    <w:rsid w:val="09BC4A90"/>
    <w:rsid w:val="0A1B7A08"/>
    <w:rsid w:val="0AD90C53"/>
    <w:rsid w:val="0B5331D2"/>
    <w:rsid w:val="0B675BF5"/>
    <w:rsid w:val="0B9F01C5"/>
    <w:rsid w:val="0BA17A99"/>
    <w:rsid w:val="0BC8771C"/>
    <w:rsid w:val="0C1577EC"/>
    <w:rsid w:val="0C4072B2"/>
    <w:rsid w:val="0CFA4110"/>
    <w:rsid w:val="0D207CE7"/>
    <w:rsid w:val="0D4A5F0F"/>
    <w:rsid w:val="0DB07535"/>
    <w:rsid w:val="0E9E6313"/>
    <w:rsid w:val="0EAC6E81"/>
    <w:rsid w:val="0F055EC5"/>
    <w:rsid w:val="0F566DED"/>
    <w:rsid w:val="10283467"/>
    <w:rsid w:val="102F0B7B"/>
    <w:rsid w:val="1077526D"/>
    <w:rsid w:val="10DB78ED"/>
    <w:rsid w:val="11025D89"/>
    <w:rsid w:val="117234E2"/>
    <w:rsid w:val="11D363A6"/>
    <w:rsid w:val="125321BF"/>
    <w:rsid w:val="1359145C"/>
    <w:rsid w:val="13B55D4D"/>
    <w:rsid w:val="141F36D1"/>
    <w:rsid w:val="145C0106"/>
    <w:rsid w:val="14861F22"/>
    <w:rsid w:val="18552337"/>
    <w:rsid w:val="186A6BF8"/>
    <w:rsid w:val="187622AE"/>
    <w:rsid w:val="18FA6A3B"/>
    <w:rsid w:val="19017DC9"/>
    <w:rsid w:val="191F54EE"/>
    <w:rsid w:val="198A4263"/>
    <w:rsid w:val="1A1E1333"/>
    <w:rsid w:val="1A646862"/>
    <w:rsid w:val="1ABD4E9E"/>
    <w:rsid w:val="1AE41750"/>
    <w:rsid w:val="1B191A1B"/>
    <w:rsid w:val="1B280B98"/>
    <w:rsid w:val="1B293607"/>
    <w:rsid w:val="1B520DB0"/>
    <w:rsid w:val="1B6A60FA"/>
    <w:rsid w:val="1B8B7B95"/>
    <w:rsid w:val="1BE55780"/>
    <w:rsid w:val="1BEA58FD"/>
    <w:rsid w:val="1BF8028F"/>
    <w:rsid w:val="1CCF4667"/>
    <w:rsid w:val="1CD00D9F"/>
    <w:rsid w:val="1CF55E97"/>
    <w:rsid w:val="1D7E7C3A"/>
    <w:rsid w:val="1D7F39B2"/>
    <w:rsid w:val="1DA82F09"/>
    <w:rsid w:val="1DEE1612"/>
    <w:rsid w:val="1E0134EF"/>
    <w:rsid w:val="1E193E07"/>
    <w:rsid w:val="1F340938"/>
    <w:rsid w:val="1F8B39D5"/>
    <w:rsid w:val="1FDE786A"/>
    <w:rsid w:val="1FF71FCD"/>
    <w:rsid w:val="20001E79"/>
    <w:rsid w:val="200D2C63"/>
    <w:rsid w:val="209634ED"/>
    <w:rsid w:val="215F1C1F"/>
    <w:rsid w:val="219519F6"/>
    <w:rsid w:val="22842735"/>
    <w:rsid w:val="229B128E"/>
    <w:rsid w:val="22D5228D"/>
    <w:rsid w:val="23607DE2"/>
    <w:rsid w:val="23D63FF3"/>
    <w:rsid w:val="23EB4B58"/>
    <w:rsid w:val="241412AC"/>
    <w:rsid w:val="242F6132"/>
    <w:rsid w:val="24A863FC"/>
    <w:rsid w:val="24C9278C"/>
    <w:rsid w:val="256718FC"/>
    <w:rsid w:val="263C68E5"/>
    <w:rsid w:val="27090EBD"/>
    <w:rsid w:val="274F0899"/>
    <w:rsid w:val="27B01338"/>
    <w:rsid w:val="27EB411E"/>
    <w:rsid w:val="28243AD4"/>
    <w:rsid w:val="28AB320C"/>
    <w:rsid w:val="28C606E7"/>
    <w:rsid w:val="297B7724"/>
    <w:rsid w:val="29A8408B"/>
    <w:rsid w:val="29EA13DF"/>
    <w:rsid w:val="29EE6148"/>
    <w:rsid w:val="2A203A88"/>
    <w:rsid w:val="2A4E6BE6"/>
    <w:rsid w:val="2A6E5188"/>
    <w:rsid w:val="2A7F1496"/>
    <w:rsid w:val="2A8D7116"/>
    <w:rsid w:val="2AEB2687"/>
    <w:rsid w:val="2B5446D0"/>
    <w:rsid w:val="2BB129B7"/>
    <w:rsid w:val="2BB87E09"/>
    <w:rsid w:val="2C444745"/>
    <w:rsid w:val="2CC61D38"/>
    <w:rsid w:val="2D834DF9"/>
    <w:rsid w:val="2DB55005"/>
    <w:rsid w:val="2E093550"/>
    <w:rsid w:val="2E741572"/>
    <w:rsid w:val="2EA15E7F"/>
    <w:rsid w:val="2F685D83"/>
    <w:rsid w:val="2FF215C2"/>
    <w:rsid w:val="2FFA40E7"/>
    <w:rsid w:val="304D1233"/>
    <w:rsid w:val="307F0F3E"/>
    <w:rsid w:val="30B359F5"/>
    <w:rsid w:val="30B70A98"/>
    <w:rsid w:val="30C9339C"/>
    <w:rsid w:val="30D75B88"/>
    <w:rsid w:val="312811AB"/>
    <w:rsid w:val="315775D2"/>
    <w:rsid w:val="317C5FC8"/>
    <w:rsid w:val="318178A1"/>
    <w:rsid w:val="318D31E8"/>
    <w:rsid w:val="31BA13DF"/>
    <w:rsid w:val="31BE3C47"/>
    <w:rsid w:val="31F10EAF"/>
    <w:rsid w:val="328B489A"/>
    <w:rsid w:val="33D62126"/>
    <w:rsid w:val="348C22AE"/>
    <w:rsid w:val="350C2B08"/>
    <w:rsid w:val="353D61D5"/>
    <w:rsid w:val="35523A2F"/>
    <w:rsid w:val="35564A6A"/>
    <w:rsid w:val="35D501BC"/>
    <w:rsid w:val="367B2376"/>
    <w:rsid w:val="371D1E1A"/>
    <w:rsid w:val="37267393"/>
    <w:rsid w:val="372B14EB"/>
    <w:rsid w:val="37C4498C"/>
    <w:rsid w:val="37FE39FA"/>
    <w:rsid w:val="38115DC2"/>
    <w:rsid w:val="38673C95"/>
    <w:rsid w:val="39341715"/>
    <w:rsid w:val="39407315"/>
    <w:rsid w:val="39565AB7"/>
    <w:rsid w:val="3A6D4088"/>
    <w:rsid w:val="3B1F2605"/>
    <w:rsid w:val="3B3135D0"/>
    <w:rsid w:val="3BA70186"/>
    <w:rsid w:val="3BAA3FB1"/>
    <w:rsid w:val="3BBA27B4"/>
    <w:rsid w:val="3C136B23"/>
    <w:rsid w:val="3C1460C3"/>
    <w:rsid w:val="3C597D99"/>
    <w:rsid w:val="3C865F78"/>
    <w:rsid w:val="3CC9348E"/>
    <w:rsid w:val="3D023F8C"/>
    <w:rsid w:val="3D4B2EB3"/>
    <w:rsid w:val="3D577938"/>
    <w:rsid w:val="3DD75D32"/>
    <w:rsid w:val="3DFFF389"/>
    <w:rsid w:val="3E520DC7"/>
    <w:rsid w:val="3F03223E"/>
    <w:rsid w:val="3F2B709E"/>
    <w:rsid w:val="3F79EE90"/>
    <w:rsid w:val="3FF335F9"/>
    <w:rsid w:val="4010076E"/>
    <w:rsid w:val="402441FB"/>
    <w:rsid w:val="41241AE4"/>
    <w:rsid w:val="416E0932"/>
    <w:rsid w:val="41AE6491"/>
    <w:rsid w:val="41CE2A65"/>
    <w:rsid w:val="41F45E6E"/>
    <w:rsid w:val="42042555"/>
    <w:rsid w:val="4216771B"/>
    <w:rsid w:val="42585E56"/>
    <w:rsid w:val="429608E2"/>
    <w:rsid w:val="42C6199F"/>
    <w:rsid w:val="434B7D0F"/>
    <w:rsid w:val="43CC65BD"/>
    <w:rsid w:val="449C6A74"/>
    <w:rsid w:val="44A47469"/>
    <w:rsid w:val="45374C69"/>
    <w:rsid w:val="453A003B"/>
    <w:rsid w:val="455579DF"/>
    <w:rsid w:val="45674E56"/>
    <w:rsid w:val="457D6AC5"/>
    <w:rsid w:val="45C218AE"/>
    <w:rsid w:val="463F3045"/>
    <w:rsid w:val="465F60A2"/>
    <w:rsid w:val="467928F9"/>
    <w:rsid w:val="46ED1809"/>
    <w:rsid w:val="473C009B"/>
    <w:rsid w:val="47A125F4"/>
    <w:rsid w:val="47E558E0"/>
    <w:rsid w:val="4AE8111F"/>
    <w:rsid w:val="4B7C7600"/>
    <w:rsid w:val="4BAE52DF"/>
    <w:rsid w:val="4C51283A"/>
    <w:rsid w:val="4CD86981"/>
    <w:rsid w:val="4CE84AB9"/>
    <w:rsid w:val="4DB7491F"/>
    <w:rsid w:val="4DBF1A26"/>
    <w:rsid w:val="4DF46E8A"/>
    <w:rsid w:val="4E0F386F"/>
    <w:rsid w:val="4E5E123E"/>
    <w:rsid w:val="4E821CCB"/>
    <w:rsid w:val="4F671849"/>
    <w:rsid w:val="4FA42C81"/>
    <w:rsid w:val="50277BC9"/>
    <w:rsid w:val="503A0FBA"/>
    <w:rsid w:val="50CC21E5"/>
    <w:rsid w:val="511665E9"/>
    <w:rsid w:val="512C5AEB"/>
    <w:rsid w:val="51426CFD"/>
    <w:rsid w:val="517B76A5"/>
    <w:rsid w:val="51844B18"/>
    <w:rsid w:val="51871521"/>
    <w:rsid w:val="51C03390"/>
    <w:rsid w:val="51FA75DE"/>
    <w:rsid w:val="52B7716F"/>
    <w:rsid w:val="52D25D57"/>
    <w:rsid w:val="52D90E94"/>
    <w:rsid w:val="541D1E6C"/>
    <w:rsid w:val="55627866"/>
    <w:rsid w:val="55651104"/>
    <w:rsid w:val="55741347"/>
    <w:rsid w:val="557E59C2"/>
    <w:rsid w:val="55F16F36"/>
    <w:rsid w:val="572B6B56"/>
    <w:rsid w:val="5736683C"/>
    <w:rsid w:val="573E7B72"/>
    <w:rsid w:val="57620D4F"/>
    <w:rsid w:val="57B92F71"/>
    <w:rsid w:val="57F53220"/>
    <w:rsid w:val="58647451"/>
    <w:rsid w:val="589D1F31"/>
    <w:rsid w:val="59215342"/>
    <w:rsid w:val="593908DE"/>
    <w:rsid w:val="59C75EEA"/>
    <w:rsid w:val="59EEBB73"/>
    <w:rsid w:val="5A4532B2"/>
    <w:rsid w:val="5AA44727"/>
    <w:rsid w:val="5B1923E8"/>
    <w:rsid w:val="5B3F5F54"/>
    <w:rsid w:val="5B8C73EB"/>
    <w:rsid w:val="5B8E2A48"/>
    <w:rsid w:val="5B9C6E4B"/>
    <w:rsid w:val="5C484BB0"/>
    <w:rsid w:val="5C545A2F"/>
    <w:rsid w:val="5C76653E"/>
    <w:rsid w:val="5CB17FA1"/>
    <w:rsid w:val="5CF8536B"/>
    <w:rsid w:val="5D600B2F"/>
    <w:rsid w:val="5DDB651C"/>
    <w:rsid w:val="5E4107AB"/>
    <w:rsid w:val="5FFF8C52"/>
    <w:rsid w:val="601616A0"/>
    <w:rsid w:val="602D2580"/>
    <w:rsid w:val="60EC33EF"/>
    <w:rsid w:val="6162299C"/>
    <w:rsid w:val="61897F29"/>
    <w:rsid w:val="61C5416F"/>
    <w:rsid w:val="61E77BAD"/>
    <w:rsid w:val="62A10326"/>
    <w:rsid w:val="62BF00A6"/>
    <w:rsid w:val="62D52D32"/>
    <w:rsid w:val="62E80C7F"/>
    <w:rsid w:val="62EF200D"/>
    <w:rsid w:val="6343411C"/>
    <w:rsid w:val="643D1673"/>
    <w:rsid w:val="64D16632"/>
    <w:rsid w:val="65736F26"/>
    <w:rsid w:val="65F52031"/>
    <w:rsid w:val="66206866"/>
    <w:rsid w:val="66471BF6"/>
    <w:rsid w:val="666004F6"/>
    <w:rsid w:val="66630D48"/>
    <w:rsid w:val="66AA4699"/>
    <w:rsid w:val="66B71DB0"/>
    <w:rsid w:val="671868DB"/>
    <w:rsid w:val="672A3EED"/>
    <w:rsid w:val="673C2FD6"/>
    <w:rsid w:val="68133F4F"/>
    <w:rsid w:val="68460921"/>
    <w:rsid w:val="688D02FE"/>
    <w:rsid w:val="688E0B3C"/>
    <w:rsid w:val="68CF2F15"/>
    <w:rsid w:val="68D21D93"/>
    <w:rsid w:val="69296715"/>
    <w:rsid w:val="696F72A7"/>
    <w:rsid w:val="69F20789"/>
    <w:rsid w:val="6A535578"/>
    <w:rsid w:val="6AB371AF"/>
    <w:rsid w:val="6AF24D91"/>
    <w:rsid w:val="6B5275DD"/>
    <w:rsid w:val="6B552012"/>
    <w:rsid w:val="6BBA59F2"/>
    <w:rsid w:val="6C1C6C0A"/>
    <w:rsid w:val="6DB8406F"/>
    <w:rsid w:val="6E0819B1"/>
    <w:rsid w:val="6E8A48AD"/>
    <w:rsid w:val="6F410095"/>
    <w:rsid w:val="6F8C31A5"/>
    <w:rsid w:val="6F8F4715"/>
    <w:rsid w:val="6FDFBF3B"/>
    <w:rsid w:val="700A66D9"/>
    <w:rsid w:val="70345285"/>
    <w:rsid w:val="71245578"/>
    <w:rsid w:val="71D21478"/>
    <w:rsid w:val="71E53AF6"/>
    <w:rsid w:val="72186820"/>
    <w:rsid w:val="72253C9E"/>
    <w:rsid w:val="725916D9"/>
    <w:rsid w:val="725F4256"/>
    <w:rsid w:val="72BE633B"/>
    <w:rsid w:val="72C93ABE"/>
    <w:rsid w:val="73041B05"/>
    <w:rsid w:val="735E459D"/>
    <w:rsid w:val="736967AF"/>
    <w:rsid w:val="736D552E"/>
    <w:rsid w:val="73B628F7"/>
    <w:rsid w:val="73D47729"/>
    <w:rsid w:val="745C066F"/>
    <w:rsid w:val="746B1F41"/>
    <w:rsid w:val="74A76EB3"/>
    <w:rsid w:val="752A64AA"/>
    <w:rsid w:val="75C31803"/>
    <w:rsid w:val="760D0CD1"/>
    <w:rsid w:val="760F67F7"/>
    <w:rsid w:val="764364A0"/>
    <w:rsid w:val="76487F5B"/>
    <w:rsid w:val="775D3592"/>
    <w:rsid w:val="77AA2691"/>
    <w:rsid w:val="77BC7F2D"/>
    <w:rsid w:val="79584959"/>
    <w:rsid w:val="79975481"/>
    <w:rsid w:val="79B75489"/>
    <w:rsid w:val="7A396538"/>
    <w:rsid w:val="7A74131E"/>
    <w:rsid w:val="7A797924"/>
    <w:rsid w:val="7A7D216D"/>
    <w:rsid w:val="7AEA338E"/>
    <w:rsid w:val="7AEBFF31"/>
    <w:rsid w:val="7B071EC0"/>
    <w:rsid w:val="7B7A118C"/>
    <w:rsid w:val="7C291293"/>
    <w:rsid w:val="7CD10A13"/>
    <w:rsid w:val="7CF36423"/>
    <w:rsid w:val="7D1102F8"/>
    <w:rsid w:val="7DEC702A"/>
    <w:rsid w:val="7E532C4A"/>
    <w:rsid w:val="7E8B7F5A"/>
    <w:rsid w:val="7ED3780E"/>
    <w:rsid w:val="7ED50BC3"/>
    <w:rsid w:val="7F315A30"/>
    <w:rsid w:val="7F345520"/>
    <w:rsid w:val="7F482BD2"/>
    <w:rsid w:val="7F5D37AB"/>
    <w:rsid w:val="7F9F23E4"/>
    <w:rsid w:val="7FF47F89"/>
    <w:rsid w:val="AEFE0F82"/>
    <w:rsid w:val="BFF684AF"/>
    <w:rsid w:val="CB7F0C64"/>
    <w:rsid w:val="D6EDDBA2"/>
    <w:rsid w:val="DF6BB4DD"/>
    <w:rsid w:val="DFEF7007"/>
    <w:rsid w:val="EEB70E65"/>
    <w:rsid w:val="F6FDCD78"/>
    <w:rsid w:val="FFDFF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600" w:lineRule="exact"/>
      <w:ind w:firstLine="880" w:firstLineChars="200"/>
    </w:pPr>
    <w:rPr>
      <w:rFonts w:eastAsia="仿宋_GB2312"/>
      <w:sz w:val="32"/>
    </w:rPr>
  </w:style>
  <w:style w:type="paragraph" w:styleId="4">
    <w:name w:val="table of authorities"/>
    <w:basedOn w:val="1"/>
    <w:next w:val="1"/>
    <w:unhideWhenUsed/>
    <w:qFormat/>
    <w:uiPriority w:val="99"/>
    <w:pPr>
      <w:ind w:left="200" w:leftChars="200"/>
    </w:pPr>
  </w:style>
  <w:style w:type="paragraph" w:styleId="5">
    <w:name w:val="Balloon Text"/>
    <w:basedOn w:val="1"/>
    <w:link w:val="16"/>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unhideWhenUsed/>
    <w:qFormat/>
    <w:uiPriority w:val="99"/>
    <w:rPr>
      <w:color w:val="0000FF"/>
      <w:u w:val="single"/>
    </w:rPr>
  </w:style>
  <w:style w:type="character" w:customStyle="1" w:styleId="14">
    <w:name w:val="font21"/>
    <w:basedOn w:val="11"/>
    <w:qFormat/>
    <w:uiPriority w:val="0"/>
    <w:rPr>
      <w:rFonts w:hint="eastAsia" w:ascii="方正小标宋简体" w:hAnsi="方正小标宋简体" w:eastAsia="方正小标宋简体" w:cs="方正小标宋简体"/>
      <w:color w:val="000000"/>
      <w:sz w:val="40"/>
      <w:szCs w:val="40"/>
      <w:u w:val="none"/>
    </w:rPr>
  </w:style>
  <w:style w:type="character" w:customStyle="1" w:styleId="15">
    <w:name w:val="font41"/>
    <w:basedOn w:val="11"/>
    <w:qFormat/>
    <w:uiPriority w:val="0"/>
    <w:rPr>
      <w:rFonts w:hint="eastAsia" w:ascii="宋体" w:hAnsi="宋体" w:eastAsia="宋体" w:cs="宋体"/>
      <w:color w:val="000000"/>
      <w:sz w:val="20"/>
      <w:szCs w:val="20"/>
      <w:u w:val="none"/>
    </w:rPr>
  </w:style>
  <w:style w:type="character" w:customStyle="1" w:styleId="16">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5910</Words>
  <Characters>6321</Characters>
  <Lines>47</Lines>
  <Paragraphs>13</Paragraphs>
  <TotalTime>0</TotalTime>
  <ScaleCrop>false</ScaleCrop>
  <LinksUpToDate>false</LinksUpToDate>
  <CharactersWithSpaces>6450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2022-08-03T07:40:00Z</dcterms:created>
  <dc:creator>高春雷</dc:creator>
  <cp:lastModifiedBy>user</cp:lastModifiedBy>
  <cp:lastPrinted>2025-05-16T01:04:00Z</cp:lastPrinted>
  <dcterms:modified xsi:type="dcterms:W3CDTF">2025-05-22T17:05:36Z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4F96F234C32812E67A8F2D683CB79CDE</vt:lpwstr>
  </property>
  <property fmtid="{D5CDD505-2E9C-101B-9397-08002B2CF9AE}" pid="4" name="KSOTemplateDocerSaveRecord">
    <vt:lpwstr>eyJoZGlkIjoiNTY1ZmIwMTM4Nzc1YmFiNWIzZjEyOTUyZjhkNGI5NWMiLCJ1c2VySWQiOiIzMTYxOTA0MzMifQ==</vt:lpwstr>
  </property>
</Properties>
</file>