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专业参考目录</w:t>
      </w:r>
    </w:p>
    <w:p>
      <w:pPr>
        <w:widowControl/>
        <w:spacing w:line="44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2"/>
        <w:tblW w:w="85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310"/>
        <w:gridCol w:w="2244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>专业大类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>研究生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top"/>
          </w:tcPr>
          <w:p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Cs w:val="21"/>
              </w:rPr>
              <w:t>公共管理类</w:t>
            </w:r>
          </w:p>
        </w:tc>
        <w:tc>
          <w:tcPr>
            <w:tcW w:w="2310" w:type="dxa"/>
            <w:vAlign w:val="top"/>
          </w:tcPr>
          <w:p>
            <w:pPr>
              <w:jc w:val="left"/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244" w:type="dxa"/>
            <w:vAlign w:val="top"/>
          </w:tcPr>
          <w:p>
            <w:pPr>
              <w:jc w:val="left"/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vAlign w:val="top"/>
          </w:tcPr>
          <w:p>
            <w:pPr>
              <w:jc w:val="left"/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2025-08-15T08:16:38Z</dcterms:created>
  <dc:creator>Administrator</dc:creator>
  <cp:lastModifiedBy>WPS_1543811797</cp:lastModifiedBy>
  <dcterms:modified xsi:type="dcterms:W3CDTF">2025-08-15T08:16:46Z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09F91FC633CD4D8D8C0A38B45F426AE9</vt:lpwstr>
  </property>
</Properties>
</file>