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B404">
      <w:pPr>
        <w:widowControl/>
        <w:tabs>
          <w:tab w:val="left" w:pos="1066"/>
        </w:tabs>
        <w:spacing w:line="640" w:lineRule="exact"/>
        <w:jc w:val="left"/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3</w:t>
      </w:r>
    </w:p>
    <w:p w14:paraId="5C2C3DE5">
      <w:pPr>
        <w:widowControl/>
        <w:tabs>
          <w:tab w:val="left" w:pos="1066"/>
        </w:tabs>
        <w:spacing w:line="64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阿拉尔市消防救援大队面向社会公开招聘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政府专职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消防员体能测试内容及评分标准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（男性）</w:t>
      </w:r>
    </w:p>
    <w:p w14:paraId="7CB0D200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</w:rPr>
      </w:pP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857"/>
        <w:gridCol w:w="709"/>
      </w:tblGrid>
      <w:tr w14:paraId="5A37A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46BEAD3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0CCC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5B42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40F07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3D8739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B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CF74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DE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1D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EC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7F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80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EB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82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7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8F5D14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F85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745EBCE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4AC21CD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4B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941B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88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CA15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2F15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B6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24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FE29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FC15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41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3632C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</w:t>
            </w:r>
          </w:p>
          <w:p w14:paraId="7344B6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考</w:t>
            </w:r>
          </w:p>
          <w:p w14:paraId="613079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</w:t>
            </w:r>
          </w:p>
          <w:p w14:paraId="0B4441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目</w:t>
            </w:r>
          </w:p>
        </w:tc>
      </w:tr>
      <w:tr w14:paraId="59A82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DBA346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18B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7EE58D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6D4A446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2DA64FFF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E185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156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359B94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定杠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3秒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B723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2F24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9AA5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059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36BC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6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551C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F55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F9C6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52E8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6106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10571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</w:rPr>
            </w:pPr>
          </w:p>
        </w:tc>
      </w:tr>
      <w:tr w14:paraId="197CB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0744F0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911ED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641A32E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BD3EA4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71A2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0E01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550E4B5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3F799A0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B2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3FD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325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CD3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EE31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1F2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C92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9B0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1AD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FC1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C18E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7087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65E695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6522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4DC4B5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B382D8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92D3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A786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Align w:val="center"/>
          </w:tcPr>
          <w:p w14:paraId="12D51C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11"/>
            <w:tcBorders>
              <w:right w:val="single" w:color="auto" w:sz="4" w:space="0"/>
            </w:tcBorders>
            <w:vAlign w:val="center"/>
          </w:tcPr>
          <w:p w14:paraId="0E9D4B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1DFD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</w:tbl>
    <w:p w14:paraId="2C4A7542"/>
    <w:p w14:paraId="0025CAC1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2C1F1BA8">
      <w:pPr>
        <w:widowControl/>
        <w:tabs>
          <w:tab w:val="left" w:pos="1066"/>
        </w:tabs>
        <w:spacing w:line="64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阿拉尔市消防救援大队面向社会公开招聘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政府专职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消防员体能测试内容及评分标准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性）</w:t>
      </w:r>
    </w:p>
    <w:p w14:paraId="7B2F0A3F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</w:rPr>
      </w:pP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857"/>
        <w:gridCol w:w="709"/>
      </w:tblGrid>
      <w:tr w14:paraId="63D4E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vMerge w:val="restart"/>
            <w:vAlign w:val="center"/>
          </w:tcPr>
          <w:p w14:paraId="2225690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CF7A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1C55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1A43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7122F00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36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E4EE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EB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BC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9A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1C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FB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72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0E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F0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29E28B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5A6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18DA48D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1963DC8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A8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04C8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54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8F6A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0A99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25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6D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18F3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FE68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3F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B1C6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5A930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vMerge w:val="continue"/>
            <w:vAlign w:val="center"/>
          </w:tcPr>
          <w:p w14:paraId="1F72B41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B99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277B024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00米距离到达终点线，记录时间。</w:t>
            </w:r>
          </w:p>
          <w:p w14:paraId="4DCE2BF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6E749F35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63D76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67C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46EC3B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仰卧起坐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9BCC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D5C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A7F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316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566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BD7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C7F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510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9A0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6FB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C176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1A100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vMerge w:val="continue"/>
            <w:vAlign w:val="center"/>
          </w:tcPr>
          <w:p w14:paraId="6D4AB9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6DCB5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仰卧于垫上，两腿稍分开，屈膝成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90°角，双腿固定（勾住器械或由同伴按压踝关节）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  <w:p w14:paraId="73A75CC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双手交叉贴于头后，两臂打开且手背触垫，肩胛骨完全贴紧垫面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  <w:p w14:paraId="44987EC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卷腹带动上体抬起，双肘必须触及或超越双膝，禁止臀部离垫、颈部代偿发力、借用肘部撑垫等均视为违规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  <w:p w14:paraId="0FA1DED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4.计时2分钟，记录符合标准的动作次数。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0B24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4FEE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19C8DD18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跳绳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7010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75F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060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223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10E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C4C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062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BC6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4FE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A42F">
            <w:pPr>
              <w:widowControl/>
              <w:adjustRightInd w:val="0"/>
              <w:snapToGrid w:val="0"/>
              <w:ind w:right="-113" w:rightChars="-54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7FAE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6A8F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vMerge w:val="continue"/>
            <w:vAlign w:val="center"/>
          </w:tcPr>
          <w:p w14:paraId="0360939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D8AB8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双手拿绳后，听到口令时开始跳绳，计时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2分钟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12B2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BB64D8F"/>
    <w:p w14:paraId="0CFABF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DQ5MzE3M2NlZDQxODRmNTc1MDJlMWNhMjY2ZTAifQ=="/>
  </w:docVars>
  <w:rsids>
    <w:rsidRoot w:val="5139300E"/>
    <w:rsid w:val="0A5A15CE"/>
    <w:rsid w:val="124037CF"/>
    <w:rsid w:val="162D4D4B"/>
    <w:rsid w:val="2C496BE8"/>
    <w:rsid w:val="36F54FB9"/>
    <w:rsid w:val="41870BB1"/>
    <w:rsid w:val="5139300E"/>
    <w:rsid w:val="64E639EA"/>
    <w:rsid w:val="734E4AF5"/>
    <w:rsid w:val="7A6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1026</Characters>
  <Lines>0</Lines>
  <Paragraphs>0</Paragraphs>
  <TotalTime>17</TotalTime>
  <ScaleCrop>false</ScaleCrop>
  <LinksUpToDate>false</LinksUpToDate>
  <CharactersWithSpaces>1038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2025-06-27T04:56:00Z</dcterms:created>
  <dc:creator>qzuser</dc:creator>
  <cp:lastModifiedBy>拉莱儿-</cp:lastModifiedBy>
  <dcterms:modified xsi:type="dcterms:W3CDTF">2025-10-14T04:17:28Z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45DECE9A5F7F4C55833E2A3C7932570E_13</vt:lpwstr>
  </property>
  <property fmtid="{D5CDD505-2E9C-101B-9397-08002B2CF9AE}" pid="4" name="KSOTemplateDocerSaveRecord">
    <vt:lpwstr>eyJoZGlkIjoiOTk1NjZmYjQzN2E2MzQ4OTQxOGUzNTdmZWVlNzc4YTQifQ==</vt:lpwstr>
  </property>
</Properties>
</file>