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AD388">
      <w:pPr>
        <w:adjustRightInd w:val="0"/>
        <w:snapToGrid w:val="0"/>
        <w:spacing w:line="640" w:lineRule="exact"/>
        <w:jc w:val="left"/>
        <w:rPr>
          <w:rFonts w:ascii="宋体" w:hAnsi="宋体" w:cs="宋体"/>
          <w:color w:val="auto"/>
          <w:w w:val="85"/>
          <w:kern w:val="0"/>
          <w:sz w:val="32"/>
          <w:szCs w:val="32"/>
        </w:rPr>
      </w:pPr>
      <w:bookmarkStart w:id="0" w:name="_Toc6286_WPSOffice_Level1"/>
      <w:r>
        <w:rPr>
          <w:rFonts w:hint="eastAsia" w:ascii="楷体" w:hAnsi="楷体" w:eastAsia="楷体" w:cs="宋体"/>
          <w:color w:val="auto"/>
          <w:w w:val="85"/>
          <w:kern w:val="0"/>
          <w:sz w:val="32"/>
          <w:szCs w:val="32"/>
        </w:rPr>
        <w:t>附件</w:t>
      </w:r>
      <w:r>
        <w:rPr>
          <w:rFonts w:ascii="楷体" w:hAnsi="楷体" w:eastAsia="楷体" w:cs="宋体"/>
          <w:color w:val="auto"/>
          <w:w w:val="85"/>
          <w:kern w:val="0"/>
          <w:sz w:val="32"/>
          <w:szCs w:val="32"/>
        </w:rPr>
        <w:t>1</w:t>
      </w:r>
      <w:r>
        <w:rPr>
          <w:rFonts w:hint="eastAsia" w:ascii="宋体" w:hAnsi="宋体" w:cs="宋体"/>
          <w:color w:val="auto"/>
          <w:w w:val="85"/>
          <w:kern w:val="0"/>
          <w:sz w:val="32"/>
          <w:szCs w:val="32"/>
        </w:rPr>
        <w:t>：</w:t>
      </w:r>
    </w:p>
    <w:bookmarkEnd w:id="0"/>
    <w:p w14:paraId="0F197B08">
      <w:pPr>
        <w:adjustRightInd w:val="0"/>
        <w:snapToGrid w:val="0"/>
        <w:spacing w:line="640" w:lineRule="exact"/>
        <w:jc w:val="center"/>
        <w:rPr>
          <w:rFonts w:hint="eastAsia" w:ascii="方正小标宋简体" w:hAnsi="方正小标宋简体" w:eastAsia="方正小标宋简体" w:cs="方正小标宋简体"/>
          <w:bCs/>
          <w:color w:val="auto"/>
          <w:w w:val="85"/>
          <w:kern w:val="0"/>
          <w:sz w:val="44"/>
          <w:szCs w:val="44"/>
          <w:lang w:eastAsia="zh-CN"/>
        </w:rPr>
      </w:pPr>
      <w:r>
        <w:rPr>
          <w:rFonts w:hint="eastAsia" w:ascii="方正小标宋简体" w:hAnsi="方正小标宋简体" w:eastAsia="方正小标宋简体" w:cs="方正小标宋简体"/>
          <w:bCs/>
          <w:color w:val="auto"/>
          <w:w w:val="85"/>
          <w:kern w:val="0"/>
          <w:sz w:val="44"/>
          <w:szCs w:val="44"/>
        </w:rPr>
        <w:t>厦门市思明区所属事业单位公开招聘卫生</w:t>
      </w:r>
      <w:r>
        <w:rPr>
          <w:rFonts w:hint="eastAsia" w:ascii="方正小标宋简体" w:hAnsi="方正小标宋简体" w:eastAsia="方正小标宋简体" w:cs="方正小标宋简体"/>
          <w:bCs/>
          <w:color w:val="auto"/>
          <w:w w:val="85"/>
          <w:kern w:val="0"/>
          <w:sz w:val="44"/>
          <w:szCs w:val="44"/>
          <w:lang w:eastAsia="zh-CN"/>
        </w:rPr>
        <w:t>系列</w:t>
      </w:r>
    </w:p>
    <w:p w14:paraId="38276168">
      <w:pPr>
        <w:adjustRightInd w:val="0"/>
        <w:snapToGrid w:val="0"/>
        <w:spacing w:line="640" w:lineRule="exact"/>
        <w:jc w:val="center"/>
        <w:rPr>
          <w:rFonts w:hint="eastAsia" w:ascii="方正小标宋简体" w:hAnsi="方正小标宋简体" w:eastAsia="方正小标宋简体" w:cs="方正小标宋简体"/>
          <w:bCs/>
          <w:color w:val="auto"/>
          <w:w w:val="85"/>
          <w:kern w:val="0"/>
          <w:sz w:val="44"/>
          <w:szCs w:val="44"/>
        </w:rPr>
      </w:pPr>
      <w:r>
        <w:rPr>
          <w:rFonts w:hint="eastAsia" w:ascii="方正小标宋简体" w:hAnsi="方正小标宋简体" w:eastAsia="方正小标宋简体" w:cs="方正小标宋简体"/>
          <w:bCs/>
          <w:color w:val="auto"/>
          <w:w w:val="85"/>
          <w:kern w:val="0"/>
          <w:sz w:val="44"/>
          <w:szCs w:val="44"/>
          <w:lang w:val="en-US" w:eastAsia="zh-CN"/>
        </w:rPr>
        <w:t>专业</w:t>
      </w:r>
      <w:r>
        <w:rPr>
          <w:rFonts w:hint="eastAsia" w:ascii="方正小标宋简体" w:hAnsi="方正小标宋简体" w:eastAsia="方正小标宋简体" w:cs="方正小标宋简体"/>
          <w:bCs/>
          <w:color w:val="auto"/>
          <w:w w:val="85"/>
          <w:kern w:val="0"/>
          <w:sz w:val="44"/>
          <w:szCs w:val="44"/>
        </w:rPr>
        <w:t>技术</w:t>
      </w:r>
      <w:r>
        <w:rPr>
          <w:rFonts w:hint="eastAsia" w:ascii="方正小标宋简体" w:hAnsi="方正小标宋简体" w:eastAsia="方正小标宋简体" w:cs="方正小标宋简体"/>
          <w:bCs/>
          <w:color w:val="auto"/>
          <w:w w:val="85"/>
          <w:kern w:val="0"/>
          <w:sz w:val="44"/>
          <w:szCs w:val="44"/>
          <w:lang w:val="en-US" w:eastAsia="zh-CN"/>
        </w:rPr>
        <w:t>岗位工作</w:t>
      </w:r>
      <w:r>
        <w:rPr>
          <w:rFonts w:hint="eastAsia" w:ascii="方正小标宋简体" w:hAnsi="方正小标宋简体" w:eastAsia="方正小标宋简体" w:cs="方正小标宋简体"/>
          <w:bCs/>
          <w:color w:val="auto"/>
          <w:w w:val="85"/>
          <w:kern w:val="0"/>
          <w:sz w:val="44"/>
          <w:szCs w:val="44"/>
        </w:rPr>
        <w:t>人员报考须知（2025年</w:t>
      </w:r>
      <w:r>
        <w:rPr>
          <w:rFonts w:hint="eastAsia" w:ascii="方正小标宋简体" w:hAnsi="方正小标宋简体" w:eastAsia="方正小标宋简体" w:cs="方正小标宋简体"/>
          <w:bCs/>
          <w:color w:val="auto"/>
          <w:w w:val="85"/>
          <w:kern w:val="0"/>
          <w:sz w:val="44"/>
          <w:szCs w:val="44"/>
          <w:lang w:val="en-US" w:eastAsia="zh-CN"/>
        </w:rPr>
        <w:t>11</w:t>
      </w:r>
      <w:r>
        <w:rPr>
          <w:rFonts w:hint="eastAsia" w:ascii="方正小标宋简体" w:hAnsi="方正小标宋简体" w:eastAsia="方正小标宋简体" w:cs="方正小标宋简体"/>
          <w:bCs/>
          <w:color w:val="auto"/>
          <w:w w:val="85"/>
          <w:kern w:val="0"/>
          <w:sz w:val="44"/>
          <w:szCs w:val="44"/>
        </w:rPr>
        <w:t>月）</w:t>
      </w:r>
    </w:p>
    <w:p w14:paraId="2D4BA0C9">
      <w:pPr>
        <w:adjustRightInd w:val="0"/>
        <w:snapToGrid w:val="0"/>
        <w:spacing w:before="156" w:beforeLines="50" w:line="640" w:lineRule="exact"/>
        <w:jc w:val="center"/>
        <w:rPr>
          <w:rFonts w:ascii="仿宋_GB2312" w:hAnsi="仿宋_GB2312" w:eastAsia="仿宋_GB2312" w:cs="仿宋_GB2312"/>
          <w:b/>
          <w:color w:val="auto"/>
          <w:w w:val="85"/>
          <w:kern w:val="0"/>
          <w:sz w:val="44"/>
          <w:szCs w:val="44"/>
        </w:rPr>
      </w:pPr>
      <w:r>
        <w:rPr>
          <w:rFonts w:hint="eastAsia" w:ascii="仿宋_GB2312" w:hAnsi="仿宋_GB2312" w:eastAsia="仿宋_GB2312" w:cs="仿宋_GB2312"/>
          <w:b/>
          <w:color w:val="auto"/>
          <w:w w:val="85"/>
          <w:kern w:val="0"/>
          <w:sz w:val="44"/>
          <w:szCs w:val="44"/>
        </w:rPr>
        <w:t>目  录</w:t>
      </w:r>
    </w:p>
    <w:p w14:paraId="5FE9483F">
      <w:pPr>
        <w:adjustRightInd w:val="0"/>
        <w:snapToGrid w:val="0"/>
        <w:spacing w:line="360" w:lineRule="auto"/>
        <w:jc w:val="center"/>
        <w:rPr>
          <w:color w:val="auto"/>
          <w:sz w:val="24"/>
          <w:szCs w:val="24"/>
        </w:rPr>
      </w:pPr>
    </w:p>
    <w:p w14:paraId="24F7B741">
      <w:pPr>
        <w:pStyle w:val="8"/>
        <w:tabs>
          <w:tab w:val="right" w:leader="dot" w:pos="8844"/>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_Toc24505 </w:instrText>
      </w:r>
      <w:r>
        <w:rPr>
          <w:color w:val="auto"/>
        </w:rPr>
        <w:fldChar w:fldCharType="separate"/>
      </w:r>
      <w:r>
        <w:rPr>
          <w:rFonts w:hint="eastAsia" w:ascii="黑体" w:hAnsi="黑体" w:eastAsia="黑体"/>
          <w:color w:val="auto"/>
          <w:szCs w:val="32"/>
        </w:rPr>
        <w:t>一、基本条件</w:t>
      </w:r>
      <w:r>
        <w:rPr>
          <w:color w:val="auto"/>
        </w:rPr>
        <w:tab/>
      </w:r>
      <w:r>
        <w:rPr>
          <w:color w:val="auto"/>
        </w:rPr>
        <w:fldChar w:fldCharType="begin"/>
      </w:r>
      <w:r>
        <w:rPr>
          <w:color w:val="auto"/>
        </w:rPr>
        <w:instrText xml:space="preserve"> PAGEREF _Toc24505 \h </w:instrText>
      </w:r>
      <w:r>
        <w:rPr>
          <w:color w:val="auto"/>
        </w:rPr>
        <w:fldChar w:fldCharType="separate"/>
      </w:r>
      <w:r>
        <w:rPr>
          <w:color w:val="auto"/>
        </w:rPr>
        <w:t>1</w:t>
      </w:r>
      <w:r>
        <w:rPr>
          <w:color w:val="auto"/>
        </w:rPr>
        <w:fldChar w:fldCharType="end"/>
      </w:r>
      <w:r>
        <w:rPr>
          <w:color w:val="auto"/>
        </w:rPr>
        <w:fldChar w:fldCharType="end"/>
      </w:r>
    </w:p>
    <w:p w14:paraId="28C8794C">
      <w:pPr>
        <w:pStyle w:val="8"/>
        <w:tabs>
          <w:tab w:val="right" w:leader="dot" w:pos="8844"/>
        </w:tabs>
        <w:rPr>
          <w:color w:val="auto"/>
        </w:rPr>
      </w:pPr>
      <w:r>
        <w:rPr>
          <w:color w:val="auto"/>
        </w:rPr>
        <w:fldChar w:fldCharType="begin"/>
      </w:r>
      <w:r>
        <w:rPr>
          <w:color w:val="auto"/>
        </w:rPr>
        <w:instrText xml:space="preserve"> HYPERLINK \l _Toc16165 </w:instrText>
      </w:r>
      <w:r>
        <w:rPr>
          <w:color w:val="auto"/>
        </w:rPr>
        <w:fldChar w:fldCharType="separate"/>
      </w:r>
      <w:r>
        <w:rPr>
          <w:rFonts w:hint="eastAsia" w:ascii="黑体" w:hAnsi="黑体" w:eastAsia="黑体"/>
          <w:color w:val="auto"/>
          <w:szCs w:val="32"/>
        </w:rPr>
        <w:t>二、不得报考或取消报考（聘用）资格的情形</w:t>
      </w:r>
      <w:r>
        <w:rPr>
          <w:color w:val="auto"/>
        </w:rPr>
        <w:tab/>
      </w:r>
      <w:r>
        <w:rPr>
          <w:color w:val="auto"/>
        </w:rPr>
        <w:fldChar w:fldCharType="begin"/>
      </w:r>
      <w:r>
        <w:rPr>
          <w:color w:val="auto"/>
        </w:rPr>
        <w:instrText xml:space="preserve"> PAGEREF _Toc16165 \h </w:instrText>
      </w:r>
      <w:r>
        <w:rPr>
          <w:color w:val="auto"/>
        </w:rPr>
        <w:fldChar w:fldCharType="separate"/>
      </w:r>
      <w:r>
        <w:rPr>
          <w:color w:val="auto"/>
        </w:rPr>
        <w:t>1</w:t>
      </w:r>
      <w:r>
        <w:rPr>
          <w:color w:val="auto"/>
        </w:rPr>
        <w:fldChar w:fldCharType="end"/>
      </w:r>
      <w:r>
        <w:rPr>
          <w:color w:val="auto"/>
        </w:rPr>
        <w:fldChar w:fldCharType="end"/>
      </w:r>
    </w:p>
    <w:p w14:paraId="0E1D762F">
      <w:pPr>
        <w:pStyle w:val="8"/>
        <w:tabs>
          <w:tab w:val="right" w:leader="dot" w:pos="8844"/>
        </w:tabs>
        <w:rPr>
          <w:color w:val="auto"/>
        </w:rPr>
      </w:pPr>
      <w:r>
        <w:rPr>
          <w:color w:val="auto"/>
        </w:rPr>
        <w:fldChar w:fldCharType="begin"/>
      </w:r>
      <w:r>
        <w:rPr>
          <w:color w:val="auto"/>
        </w:rPr>
        <w:instrText xml:space="preserve"> HYPERLINK \l _Toc10955 </w:instrText>
      </w:r>
      <w:r>
        <w:rPr>
          <w:color w:val="auto"/>
        </w:rPr>
        <w:fldChar w:fldCharType="separate"/>
      </w:r>
      <w:r>
        <w:rPr>
          <w:rFonts w:hint="eastAsia" w:ascii="黑体" w:hAnsi="黑体" w:eastAsia="黑体"/>
          <w:color w:val="auto"/>
          <w:szCs w:val="32"/>
        </w:rPr>
        <w:t>三、选报岗位</w:t>
      </w:r>
      <w:r>
        <w:rPr>
          <w:rFonts w:hint="eastAsia" w:ascii="黑体" w:hAnsi="黑体" w:eastAsia="黑体"/>
          <w:color w:val="auto"/>
          <w:szCs w:val="32"/>
          <w:lang w:eastAsia="zh-CN"/>
        </w:rPr>
        <w:t>须知</w:t>
      </w:r>
      <w:r>
        <w:rPr>
          <w:color w:val="auto"/>
        </w:rPr>
        <w:tab/>
      </w:r>
      <w:r>
        <w:rPr>
          <w:color w:val="auto"/>
        </w:rPr>
        <w:fldChar w:fldCharType="begin"/>
      </w:r>
      <w:r>
        <w:rPr>
          <w:color w:val="auto"/>
        </w:rPr>
        <w:instrText xml:space="preserve"> PAGEREF _Toc10955 \h </w:instrText>
      </w:r>
      <w:r>
        <w:rPr>
          <w:color w:val="auto"/>
        </w:rPr>
        <w:fldChar w:fldCharType="separate"/>
      </w:r>
      <w:r>
        <w:rPr>
          <w:color w:val="auto"/>
        </w:rPr>
        <w:t>2</w:t>
      </w:r>
      <w:r>
        <w:rPr>
          <w:color w:val="auto"/>
        </w:rPr>
        <w:fldChar w:fldCharType="end"/>
      </w:r>
      <w:r>
        <w:rPr>
          <w:color w:val="auto"/>
        </w:rPr>
        <w:fldChar w:fldCharType="end"/>
      </w:r>
    </w:p>
    <w:p w14:paraId="451D1011">
      <w:pPr>
        <w:pStyle w:val="9"/>
        <w:tabs>
          <w:tab w:val="right" w:leader="dot" w:pos="8844"/>
        </w:tabs>
        <w:rPr>
          <w:color w:val="auto"/>
        </w:rPr>
      </w:pPr>
      <w:r>
        <w:rPr>
          <w:color w:val="auto"/>
        </w:rPr>
        <w:fldChar w:fldCharType="begin"/>
      </w:r>
      <w:r>
        <w:rPr>
          <w:color w:val="auto"/>
        </w:rPr>
        <w:instrText xml:space="preserve"> HYPERLINK \l _Toc9161 </w:instrText>
      </w:r>
      <w:r>
        <w:rPr>
          <w:color w:val="auto"/>
        </w:rPr>
        <w:fldChar w:fldCharType="separate"/>
      </w:r>
      <w:r>
        <w:rPr>
          <w:rFonts w:hint="eastAsia" w:ascii="楷体" w:hAnsi="楷体" w:eastAsia="楷体"/>
          <w:color w:val="auto"/>
          <w:szCs w:val="32"/>
        </w:rPr>
        <w:t>（一）报考条件确认</w:t>
      </w:r>
      <w:r>
        <w:rPr>
          <w:color w:val="auto"/>
        </w:rPr>
        <w:tab/>
      </w:r>
      <w:r>
        <w:rPr>
          <w:color w:val="auto"/>
        </w:rPr>
        <w:fldChar w:fldCharType="begin"/>
      </w:r>
      <w:r>
        <w:rPr>
          <w:color w:val="auto"/>
        </w:rPr>
        <w:instrText xml:space="preserve"> PAGEREF _Toc9161 \h </w:instrText>
      </w:r>
      <w:r>
        <w:rPr>
          <w:color w:val="auto"/>
        </w:rPr>
        <w:fldChar w:fldCharType="separate"/>
      </w:r>
      <w:r>
        <w:rPr>
          <w:color w:val="auto"/>
        </w:rPr>
        <w:t>2</w:t>
      </w:r>
      <w:r>
        <w:rPr>
          <w:color w:val="auto"/>
        </w:rPr>
        <w:fldChar w:fldCharType="end"/>
      </w:r>
      <w:r>
        <w:rPr>
          <w:color w:val="auto"/>
        </w:rPr>
        <w:fldChar w:fldCharType="end"/>
      </w:r>
    </w:p>
    <w:p w14:paraId="0714B562">
      <w:pPr>
        <w:pStyle w:val="9"/>
        <w:tabs>
          <w:tab w:val="right" w:leader="dot" w:pos="8844"/>
        </w:tabs>
        <w:rPr>
          <w:color w:val="auto"/>
        </w:rPr>
      </w:pPr>
      <w:r>
        <w:rPr>
          <w:color w:val="auto"/>
        </w:rPr>
        <w:fldChar w:fldCharType="begin"/>
      </w:r>
      <w:r>
        <w:rPr>
          <w:color w:val="auto"/>
        </w:rPr>
        <w:instrText xml:space="preserve"> HYPERLINK \l _Toc14318 </w:instrText>
      </w:r>
      <w:r>
        <w:rPr>
          <w:color w:val="auto"/>
        </w:rPr>
        <w:fldChar w:fldCharType="separate"/>
      </w:r>
      <w:r>
        <w:rPr>
          <w:rFonts w:hint="eastAsia" w:ascii="楷体" w:hAnsi="楷体" w:eastAsia="楷体"/>
          <w:color w:val="auto"/>
          <w:szCs w:val="32"/>
        </w:rPr>
        <w:t>（二）照片要求</w:t>
      </w:r>
      <w:r>
        <w:rPr>
          <w:color w:val="auto"/>
        </w:rPr>
        <w:tab/>
      </w:r>
      <w:r>
        <w:rPr>
          <w:color w:val="auto"/>
        </w:rPr>
        <w:fldChar w:fldCharType="begin"/>
      </w:r>
      <w:r>
        <w:rPr>
          <w:color w:val="auto"/>
        </w:rPr>
        <w:instrText xml:space="preserve"> PAGEREF _Toc14318 \h </w:instrText>
      </w:r>
      <w:r>
        <w:rPr>
          <w:color w:val="auto"/>
        </w:rPr>
        <w:fldChar w:fldCharType="separate"/>
      </w:r>
      <w:r>
        <w:rPr>
          <w:color w:val="auto"/>
        </w:rPr>
        <w:t>3</w:t>
      </w:r>
      <w:r>
        <w:rPr>
          <w:color w:val="auto"/>
        </w:rPr>
        <w:fldChar w:fldCharType="end"/>
      </w:r>
      <w:r>
        <w:rPr>
          <w:color w:val="auto"/>
        </w:rPr>
        <w:fldChar w:fldCharType="end"/>
      </w:r>
    </w:p>
    <w:p w14:paraId="54198895">
      <w:pPr>
        <w:pStyle w:val="9"/>
        <w:tabs>
          <w:tab w:val="right" w:leader="dot" w:pos="8844"/>
        </w:tabs>
        <w:rPr>
          <w:color w:val="auto"/>
        </w:rPr>
      </w:pPr>
      <w:r>
        <w:rPr>
          <w:color w:val="auto"/>
        </w:rPr>
        <w:fldChar w:fldCharType="begin"/>
      </w:r>
      <w:r>
        <w:rPr>
          <w:color w:val="auto"/>
        </w:rPr>
        <w:instrText xml:space="preserve"> HYPERLINK \l _Toc9551 </w:instrText>
      </w:r>
      <w:r>
        <w:rPr>
          <w:color w:val="auto"/>
        </w:rPr>
        <w:fldChar w:fldCharType="separate"/>
      </w:r>
      <w:r>
        <w:rPr>
          <w:rFonts w:hint="eastAsia" w:ascii="楷体" w:hAnsi="楷体" w:eastAsia="楷体"/>
          <w:color w:val="auto"/>
          <w:szCs w:val="32"/>
        </w:rPr>
        <w:t>（三）回避情形</w:t>
      </w:r>
      <w:r>
        <w:rPr>
          <w:color w:val="auto"/>
        </w:rPr>
        <w:tab/>
      </w:r>
      <w:r>
        <w:rPr>
          <w:color w:val="auto"/>
        </w:rPr>
        <w:fldChar w:fldCharType="begin"/>
      </w:r>
      <w:r>
        <w:rPr>
          <w:color w:val="auto"/>
        </w:rPr>
        <w:instrText xml:space="preserve"> PAGEREF _Toc9551 \h </w:instrText>
      </w:r>
      <w:r>
        <w:rPr>
          <w:color w:val="auto"/>
        </w:rPr>
        <w:fldChar w:fldCharType="separate"/>
      </w:r>
      <w:r>
        <w:rPr>
          <w:color w:val="auto"/>
        </w:rPr>
        <w:t>3</w:t>
      </w:r>
      <w:r>
        <w:rPr>
          <w:color w:val="auto"/>
        </w:rPr>
        <w:fldChar w:fldCharType="end"/>
      </w:r>
      <w:r>
        <w:rPr>
          <w:color w:val="auto"/>
        </w:rPr>
        <w:fldChar w:fldCharType="end"/>
      </w:r>
    </w:p>
    <w:p w14:paraId="02841CC2">
      <w:pPr>
        <w:pStyle w:val="8"/>
        <w:tabs>
          <w:tab w:val="right" w:leader="dot" w:pos="8844"/>
        </w:tabs>
        <w:rPr>
          <w:color w:val="auto"/>
        </w:rPr>
      </w:pPr>
      <w:r>
        <w:rPr>
          <w:color w:val="auto"/>
        </w:rPr>
        <w:fldChar w:fldCharType="begin"/>
      </w:r>
      <w:r>
        <w:rPr>
          <w:color w:val="auto"/>
        </w:rPr>
        <w:instrText xml:space="preserve"> HYPERLINK \l _Toc10798 </w:instrText>
      </w:r>
      <w:r>
        <w:rPr>
          <w:color w:val="auto"/>
        </w:rPr>
        <w:fldChar w:fldCharType="separate"/>
      </w:r>
      <w:r>
        <w:rPr>
          <w:rFonts w:hint="eastAsia" w:ascii="黑体" w:hAnsi="黑体" w:eastAsia="黑体"/>
          <w:color w:val="auto"/>
          <w:szCs w:val="32"/>
        </w:rPr>
        <w:t>四、年龄、资格（历）等的计算办法</w:t>
      </w:r>
      <w:r>
        <w:rPr>
          <w:color w:val="auto"/>
        </w:rPr>
        <w:tab/>
      </w:r>
      <w:r>
        <w:rPr>
          <w:color w:val="auto"/>
        </w:rPr>
        <w:fldChar w:fldCharType="begin"/>
      </w:r>
      <w:r>
        <w:rPr>
          <w:color w:val="auto"/>
        </w:rPr>
        <w:instrText xml:space="preserve"> PAGEREF _Toc10798 \h </w:instrText>
      </w:r>
      <w:r>
        <w:rPr>
          <w:color w:val="auto"/>
        </w:rPr>
        <w:fldChar w:fldCharType="separate"/>
      </w:r>
      <w:r>
        <w:rPr>
          <w:color w:val="auto"/>
        </w:rPr>
        <w:t>4</w:t>
      </w:r>
      <w:r>
        <w:rPr>
          <w:color w:val="auto"/>
        </w:rPr>
        <w:fldChar w:fldCharType="end"/>
      </w:r>
      <w:r>
        <w:rPr>
          <w:color w:val="auto"/>
        </w:rPr>
        <w:fldChar w:fldCharType="end"/>
      </w:r>
    </w:p>
    <w:p w14:paraId="136706DA">
      <w:pPr>
        <w:pStyle w:val="9"/>
        <w:tabs>
          <w:tab w:val="right" w:leader="dot" w:pos="8844"/>
        </w:tabs>
        <w:rPr>
          <w:color w:val="auto"/>
        </w:rPr>
      </w:pPr>
      <w:r>
        <w:rPr>
          <w:color w:val="auto"/>
        </w:rPr>
        <w:fldChar w:fldCharType="begin"/>
      </w:r>
      <w:r>
        <w:rPr>
          <w:color w:val="auto"/>
        </w:rPr>
        <w:instrText xml:space="preserve"> HYPERLINK \l _Toc5440 </w:instrText>
      </w:r>
      <w:r>
        <w:rPr>
          <w:color w:val="auto"/>
        </w:rPr>
        <w:fldChar w:fldCharType="separate"/>
      </w:r>
      <w:r>
        <w:rPr>
          <w:rFonts w:hint="eastAsia" w:ascii="楷体" w:hAnsi="楷体" w:eastAsia="楷体" w:cs="Times New Roman"/>
          <w:bCs/>
          <w:color w:val="auto"/>
          <w:szCs w:val="32"/>
        </w:rPr>
        <w:t xml:space="preserve">（一） </w:t>
      </w:r>
      <w:r>
        <w:rPr>
          <w:rFonts w:hint="eastAsia" w:ascii="楷体" w:hAnsi="楷体" w:eastAsia="楷体" w:cs="楷体"/>
          <w:bCs/>
          <w:color w:val="auto"/>
          <w:szCs w:val="32"/>
        </w:rPr>
        <w:t>年龄</w:t>
      </w:r>
      <w:r>
        <w:rPr>
          <w:color w:val="auto"/>
        </w:rPr>
        <w:tab/>
      </w:r>
      <w:r>
        <w:rPr>
          <w:color w:val="auto"/>
        </w:rPr>
        <w:fldChar w:fldCharType="begin"/>
      </w:r>
      <w:r>
        <w:rPr>
          <w:color w:val="auto"/>
        </w:rPr>
        <w:instrText xml:space="preserve"> PAGEREF _Toc5440 \h </w:instrText>
      </w:r>
      <w:r>
        <w:rPr>
          <w:color w:val="auto"/>
        </w:rPr>
        <w:fldChar w:fldCharType="separate"/>
      </w:r>
      <w:r>
        <w:rPr>
          <w:color w:val="auto"/>
        </w:rPr>
        <w:t>4</w:t>
      </w:r>
      <w:r>
        <w:rPr>
          <w:color w:val="auto"/>
        </w:rPr>
        <w:fldChar w:fldCharType="end"/>
      </w:r>
      <w:r>
        <w:rPr>
          <w:color w:val="auto"/>
        </w:rPr>
        <w:fldChar w:fldCharType="end"/>
      </w:r>
    </w:p>
    <w:p w14:paraId="551CBA61">
      <w:pPr>
        <w:pStyle w:val="9"/>
        <w:tabs>
          <w:tab w:val="right" w:leader="dot" w:pos="8844"/>
        </w:tabs>
        <w:rPr>
          <w:color w:val="auto"/>
        </w:rPr>
      </w:pPr>
      <w:r>
        <w:rPr>
          <w:color w:val="auto"/>
        </w:rPr>
        <w:fldChar w:fldCharType="begin"/>
      </w:r>
      <w:r>
        <w:rPr>
          <w:color w:val="auto"/>
        </w:rPr>
        <w:instrText xml:space="preserve"> HYPERLINK \l _Toc1261 </w:instrText>
      </w:r>
      <w:r>
        <w:rPr>
          <w:color w:val="auto"/>
        </w:rPr>
        <w:fldChar w:fldCharType="separate"/>
      </w:r>
      <w:r>
        <w:rPr>
          <w:rFonts w:hint="eastAsia" w:ascii="楷体" w:hAnsi="楷体" w:eastAsia="楷体" w:cs="Times New Roman"/>
          <w:bCs/>
          <w:color w:val="auto"/>
          <w:szCs w:val="32"/>
        </w:rPr>
        <w:t xml:space="preserve">（二） </w:t>
      </w:r>
      <w:r>
        <w:rPr>
          <w:rFonts w:hint="eastAsia" w:ascii="楷体" w:hAnsi="楷体" w:eastAsia="楷体" w:cs="楷体"/>
          <w:bCs/>
          <w:color w:val="auto"/>
          <w:szCs w:val="32"/>
        </w:rPr>
        <w:t>资格（历）等</w:t>
      </w:r>
      <w:r>
        <w:rPr>
          <w:color w:val="auto"/>
        </w:rPr>
        <w:tab/>
      </w:r>
      <w:r>
        <w:rPr>
          <w:color w:val="auto"/>
        </w:rPr>
        <w:fldChar w:fldCharType="begin"/>
      </w:r>
      <w:r>
        <w:rPr>
          <w:color w:val="auto"/>
        </w:rPr>
        <w:instrText xml:space="preserve"> PAGEREF _Toc1261 \h </w:instrText>
      </w:r>
      <w:r>
        <w:rPr>
          <w:color w:val="auto"/>
        </w:rPr>
        <w:fldChar w:fldCharType="separate"/>
      </w:r>
      <w:r>
        <w:rPr>
          <w:color w:val="auto"/>
        </w:rPr>
        <w:t>4</w:t>
      </w:r>
      <w:r>
        <w:rPr>
          <w:color w:val="auto"/>
        </w:rPr>
        <w:fldChar w:fldCharType="end"/>
      </w:r>
      <w:r>
        <w:rPr>
          <w:color w:val="auto"/>
        </w:rPr>
        <w:fldChar w:fldCharType="end"/>
      </w:r>
    </w:p>
    <w:p w14:paraId="20E7FDED">
      <w:pPr>
        <w:pStyle w:val="8"/>
        <w:tabs>
          <w:tab w:val="right" w:leader="dot" w:pos="8844"/>
        </w:tabs>
        <w:rPr>
          <w:color w:val="auto"/>
        </w:rPr>
      </w:pPr>
      <w:r>
        <w:rPr>
          <w:color w:val="auto"/>
        </w:rPr>
        <w:fldChar w:fldCharType="begin"/>
      </w:r>
      <w:r>
        <w:rPr>
          <w:color w:val="auto"/>
        </w:rPr>
        <w:instrText xml:space="preserve"> HYPERLINK \l _Toc2412 </w:instrText>
      </w:r>
      <w:r>
        <w:rPr>
          <w:color w:val="auto"/>
        </w:rPr>
        <w:fldChar w:fldCharType="separate"/>
      </w:r>
      <w:r>
        <w:rPr>
          <w:rFonts w:hint="eastAsia" w:ascii="黑体" w:hAnsi="黑体" w:eastAsia="黑体"/>
          <w:color w:val="auto"/>
          <w:szCs w:val="32"/>
        </w:rPr>
        <w:t>五、学历（位）认定</w:t>
      </w:r>
      <w:r>
        <w:rPr>
          <w:color w:val="auto"/>
        </w:rPr>
        <w:tab/>
      </w:r>
      <w:r>
        <w:rPr>
          <w:color w:val="auto"/>
        </w:rPr>
        <w:fldChar w:fldCharType="begin"/>
      </w:r>
      <w:r>
        <w:rPr>
          <w:color w:val="auto"/>
        </w:rPr>
        <w:instrText xml:space="preserve"> PAGEREF _Toc2412 \h </w:instrText>
      </w:r>
      <w:r>
        <w:rPr>
          <w:color w:val="auto"/>
        </w:rPr>
        <w:fldChar w:fldCharType="separate"/>
      </w:r>
      <w:r>
        <w:rPr>
          <w:color w:val="auto"/>
        </w:rPr>
        <w:t>4</w:t>
      </w:r>
      <w:r>
        <w:rPr>
          <w:color w:val="auto"/>
        </w:rPr>
        <w:fldChar w:fldCharType="end"/>
      </w:r>
      <w:r>
        <w:rPr>
          <w:color w:val="auto"/>
        </w:rPr>
        <w:fldChar w:fldCharType="end"/>
      </w:r>
    </w:p>
    <w:p w14:paraId="54817259">
      <w:pPr>
        <w:pStyle w:val="9"/>
        <w:tabs>
          <w:tab w:val="right" w:leader="dot" w:pos="8844"/>
        </w:tabs>
        <w:rPr>
          <w:color w:val="auto"/>
        </w:rPr>
      </w:pPr>
      <w:r>
        <w:rPr>
          <w:color w:val="auto"/>
        </w:rPr>
        <w:fldChar w:fldCharType="begin"/>
      </w:r>
      <w:r>
        <w:rPr>
          <w:color w:val="auto"/>
        </w:rPr>
        <w:instrText xml:space="preserve"> HYPERLINK \l _Toc3793 </w:instrText>
      </w:r>
      <w:r>
        <w:rPr>
          <w:color w:val="auto"/>
        </w:rPr>
        <w:fldChar w:fldCharType="separate"/>
      </w:r>
      <w:r>
        <w:rPr>
          <w:rFonts w:hint="eastAsia" w:ascii="楷体" w:hAnsi="楷体" w:eastAsia="楷体"/>
          <w:color w:val="auto"/>
          <w:szCs w:val="32"/>
        </w:rPr>
        <w:t>（一）境内学历（位）</w:t>
      </w:r>
      <w:r>
        <w:rPr>
          <w:color w:val="auto"/>
        </w:rPr>
        <w:tab/>
      </w:r>
      <w:r>
        <w:rPr>
          <w:color w:val="auto"/>
        </w:rPr>
        <w:fldChar w:fldCharType="begin"/>
      </w:r>
      <w:r>
        <w:rPr>
          <w:color w:val="auto"/>
        </w:rPr>
        <w:instrText xml:space="preserve"> PAGEREF _Toc3793 \h </w:instrText>
      </w:r>
      <w:r>
        <w:rPr>
          <w:color w:val="auto"/>
        </w:rPr>
        <w:fldChar w:fldCharType="separate"/>
      </w:r>
      <w:r>
        <w:rPr>
          <w:color w:val="auto"/>
        </w:rPr>
        <w:t>4</w:t>
      </w:r>
      <w:r>
        <w:rPr>
          <w:color w:val="auto"/>
        </w:rPr>
        <w:fldChar w:fldCharType="end"/>
      </w:r>
      <w:r>
        <w:rPr>
          <w:color w:val="auto"/>
        </w:rPr>
        <w:fldChar w:fldCharType="end"/>
      </w:r>
    </w:p>
    <w:p w14:paraId="4C2683D7">
      <w:pPr>
        <w:pStyle w:val="9"/>
        <w:tabs>
          <w:tab w:val="right" w:leader="dot" w:pos="8844"/>
        </w:tabs>
        <w:rPr>
          <w:color w:val="auto"/>
        </w:rPr>
      </w:pPr>
      <w:r>
        <w:rPr>
          <w:color w:val="auto"/>
        </w:rPr>
        <w:fldChar w:fldCharType="begin"/>
      </w:r>
      <w:r>
        <w:rPr>
          <w:color w:val="auto"/>
        </w:rPr>
        <w:instrText xml:space="preserve"> HYPERLINK \l _Toc23979 </w:instrText>
      </w:r>
      <w:r>
        <w:rPr>
          <w:color w:val="auto"/>
        </w:rPr>
        <w:fldChar w:fldCharType="separate"/>
      </w:r>
      <w:r>
        <w:rPr>
          <w:rFonts w:hint="eastAsia" w:ascii="楷体" w:hAnsi="楷体" w:eastAsia="楷体"/>
          <w:color w:val="auto"/>
          <w:szCs w:val="32"/>
        </w:rPr>
        <w:t>（二）国（境）外学历（位）</w:t>
      </w:r>
      <w:r>
        <w:rPr>
          <w:color w:val="auto"/>
        </w:rPr>
        <w:tab/>
      </w:r>
      <w:r>
        <w:rPr>
          <w:color w:val="auto"/>
        </w:rPr>
        <w:fldChar w:fldCharType="begin"/>
      </w:r>
      <w:r>
        <w:rPr>
          <w:color w:val="auto"/>
        </w:rPr>
        <w:instrText xml:space="preserve"> PAGEREF _Toc23979 \h </w:instrText>
      </w:r>
      <w:r>
        <w:rPr>
          <w:color w:val="auto"/>
        </w:rPr>
        <w:fldChar w:fldCharType="separate"/>
      </w:r>
      <w:r>
        <w:rPr>
          <w:color w:val="auto"/>
        </w:rPr>
        <w:t>4</w:t>
      </w:r>
      <w:r>
        <w:rPr>
          <w:color w:val="auto"/>
        </w:rPr>
        <w:fldChar w:fldCharType="end"/>
      </w:r>
      <w:r>
        <w:rPr>
          <w:color w:val="auto"/>
        </w:rPr>
        <w:fldChar w:fldCharType="end"/>
      </w:r>
    </w:p>
    <w:p w14:paraId="31D709C2">
      <w:pPr>
        <w:pStyle w:val="9"/>
        <w:tabs>
          <w:tab w:val="right" w:leader="dot" w:pos="8844"/>
        </w:tabs>
        <w:rPr>
          <w:color w:val="auto"/>
        </w:rPr>
      </w:pPr>
      <w:r>
        <w:rPr>
          <w:color w:val="auto"/>
        </w:rPr>
        <w:fldChar w:fldCharType="begin"/>
      </w:r>
      <w:r>
        <w:rPr>
          <w:color w:val="auto"/>
        </w:rPr>
        <w:instrText xml:space="preserve"> HYPERLINK \l _Toc19694 </w:instrText>
      </w:r>
      <w:r>
        <w:rPr>
          <w:color w:val="auto"/>
        </w:rPr>
        <w:fldChar w:fldCharType="separate"/>
      </w:r>
      <w:r>
        <w:rPr>
          <w:rFonts w:hint="eastAsia" w:ascii="楷体" w:hAnsi="楷体" w:eastAsia="楷体"/>
          <w:color w:val="auto"/>
          <w:szCs w:val="32"/>
        </w:rPr>
        <w:t>（三）我省“双学位”“双专业”学历</w:t>
      </w:r>
      <w:r>
        <w:rPr>
          <w:color w:val="auto"/>
        </w:rPr>
        <w:tab/>
      </w:r>
      <w:r>
        <w:rPr>
          <w:color w:val="auto"/>
        </w:rPr>
        <w:fldChar w:fldCharType="begin"/>
      </w:r>
      <w:r>
        <w:rPr>
          <w:color w:val="auto"/>
        </w:rPr>
        <w:instrText xml:space="preserve"> PAGEREF _Toc19694 \h </w:instrText>
      </w:r>
      <w:r>
        <w:rPr>
          <w:color w:val="auto"/>
        </w:rPr>
        <w:fldChar w:fldCharType="separate"/>
      </w:r>
      <w:r>
        <w:rPr>
          <w:color w:val="auto"/>
        </w:rPr>
        <w:t>5</w:t>
      </w:r>
      <w:r>
        <w:rPr>
          <w:color w:val="auto"/>
        </w:rPr>
        <w:fldChar w:fldCharType="end"/>
      </w:r>
      <w:r>
        <w:rPr>
          <w:color w:val="auto"/>
        </w:rPr>
        <w:fldChar w:fldCharType="end"/>
      </w:r>
    </w:p>
    <w:p w14:paraId="4734E8AF">
      <w:pPr>
        <w:pStyle w:val="9"/>
        <w:tabs>
          <w:tab w:val="right" w:leader="dot" w:pos="8844"/>
        </w:tabs>
        <w:rPr>
          <w:color w:val="auto"/>
        </w:rPr>
      </w:pPr>
      <w:r>
        <w:rPr>
          <w:color w:val="auto"/>
        </w:rPr>
        <w:fldChar w:fldCharType="begin"/>
      </w:r>
      <w:r>
        <w:rPr>
          <w:color w:val="auto"/>
        </w:rPr>
        <w:instrText xml:space="preserve"> HYPERLINK \l _Toc16603 </w:instrText>
      </w:r>
      <w:r>
        <w:rPr>
          <w:color w:val="auto"/>
        </w:rPr>
        <w:fldChar w:fldCharType="separate"/>
      </w:r>
      <w:r>
        <w:rPr>
          <w:rFonts w:hint="eastAsia" w:ascii="楷体" w:hAnsi="楷体" w:eastAsia="楷体"/>
          <w:color w:val="auto"/>
          <w:szCs w:val="32"/>
        </w:rPr>
        <w:t>（四）提醒事项</w:t>
      </w:r>
      <w:r>
        <w:rPr>
          <w:color w:val="auto"/>
        </w:rPr>
        <w:tab/>
      </w:r>
      <w:r>
        <w:rPr>
          <w:color w:val="auto"/>
        </w:rPr>
        <w:fldChar w:fldCharType="begin"/>
      </w:r>
      <w:r>
        <w:rPr>
          <w:color w:val="auto"/>
        </w:rPr>
        <w:instrText xml:space="preserve"> PAGEREF _Toc16603 \h </w:instrText>
      </w:r>
      <w:r>
        <w:rPr>
          <w:color w:val="auto"/>
        </w:rPr>
        <w:fldChar w:fldCharType="separate"/>
      </w:r>
      <w:r>
        <w:rPr>
          <w:color w:val="auto"/>
        </w:rPr>
        <w:t>5</w:t>
      </w:r>
      <w:r>
        <w:rPr>
          <w:color w:val="auto"/>
        </w:rPr>
        <w:fldChar w:fldCharType="end"/>
      </w:r>
      <w:r>
        <w:rPr>
          <w:color w:val="auto"/>
        </w:rPr>
        <w:fldChar w:fldCharType="end"/>
      </w:r>
    </w:p>
    <w:p w14:paraId="6C87A80B">
      <w:pPr>
        <w:pStyle w:val="8"/>
        <w:tabs>
          <w:tab w:val="right" w:leader="dot" w:pos="8844"/>
        </w:tabs>
        <w:rPr>
          <w:color w:val="auto"/>
        </w:rPr>
      </w:pPr>
      <w:r>
        <w:rPr>
          <w:color w:val="auto"/>
        </w:rPr>
        <w:fldChar w:fldCharType="begin"/>
      </w:r>
      <w:r>
        <w:rPr>
          <w:color w:val="auto"/>
        </w:rPr>
        <w:instrText xml:space="preserve"> HYPERLINK \l _Toc24676 </w:instrText>
      </w:r>
      <w:r>
        <w:rPr>
          <w:color w:val="auto"/>
        </w:rPr>
        <w:fldChar w:fldCharType="separate"/>
      </w:r>
      <w:r>
        <w:rPr>
          <w:rFonts w:hint="eastAsia" w:ascii="黑体" w:hAnsi="黑体" w:eastAsia="黑体"/>
          <w:color w:val="auto"/>
          <w:szCs w:val="32"/>
        </w:rPr>
        <w:t>六、专业</w:t>
      </w:r>
      <w:r>
        <w:rPr>
          <w:color w:val="auto"/>
        </w:rPr>
        <w:tab/>
      </w:r>
      <w:r>
        <w:rPr>
          <w:color w:val="auto"/>
        </w:rPr>
        <w:fldChar w:fldCharType="begin"/>
      </w:r>
      <w:r>
        <w:rPr>
          <w:color w:val="auto"/>
        </w:rPr>
        <w:instrText xml:space="preserve"> PAGEREF _Toc24676 \h </w:instrText>
      </w:r>
      <w:r>
        <w:rPr>
          <w:color w:val="auto"/>
        </w:rPr>
        <w:fldChar w:fldCharType="separate"/>
      </w:r>
      <w:r>
        <w:rPr>
          <w:color w:val="auto"/>
        </w:rPr>
        <w:t>5</w:t>
      </w:r>
      <w:r>
        <w:rPr>
          <w:color w:val="auto"/>
        </w:rPr>
        <w:fldChar w:fldCharType="end"/>
      </w:r>
      <w:r>
        <w:rPr>
          <w:color w:val="auto"/>
        </w:rPr>
        <w:fldChar w:fldCharType="end"/>
      </w:r>
    </w:p>
    <w:p w14:paraId="27CF19D8">
      <w:pPr>
        <w:pStyle w:val="9"/>
        <w:tabs>
          <w:tab w:val="right" w:leader="dot" w:pos="8844"/>
        </w:tabs>
        <w:rPr>
          <w:color w:val="auto"/>
        </w:rPr>
      </w:pPr>
      <w:r>
        <w:rPr>
          <w:color w:val="auto"/>
        </w:rPr>
        <w:fldChar w:fldCharType="begin"/>
      </w:r>
      <w:r>
        <w:rPr>
          <w:color w:val="auto"/>
        </w:rPr>
        <w:instrText xml:space="preserve"> HYPERLINK \l _Toc3721 </w:instrText>
      </w:r>
      <w:r>
        <w:rPr>
          <w:color w:val="auto"/>
        </w:rPr>
        <w:fldChar w:fldCharType="separate"/>
      </w:r>
      <w:r>
        <w:rPr>
          <w:rFonts w:hint="eastAsia" w:ascii="楷体" w:hAnsi="楷体" w:eastAsia="楷体"/>
          <w:color w:val="auto"/>
          <w:szCs w:val="32"/>
        </w:rPr>
        <w:t>（一）填报专业名称</w:t>
      </w:r>
      <w:r>
        <w:rPr>
          <w:color w:val="auto"/>
        </w:rPr>
        <w:tab/>
      </w:r>
      <w:r>
        <w:rPr>
          <w:color w:val="auto"/>
        </w:rPr>
        <w:fldChar w:fldCharType="begin"/>
      </w:r>
      <w:r>
        <w:rPr>
          <w:color w:val="auto"/>
        </w:rPr>
        <w:instrText xml:space="preserve"> PAGEREF _Toc3721 \h </w:instrText>
      </w:r>
      <w:r>
        <w:rPr>
          <w:color w:val="auto"/>
        </w:rPr>
        <w:fldChar w:fldCharType="separate"/>
      </w:r>
      <w:r>
        <w:rPr>
          <w:color w:val="auto"/>
        </w:rPr>
        <w:t>5</w:t>
      </w:r>
      <w:r>
        <w:rPr>
          <w:color w:val="auto"/>
        </w:rPr>
        <w:fldChar w:fldCharType="end"/>
      </w:r>
      <w:r>
        <w:rPr>
          <w:color w:val="auto"/>
        </w:rPr>
        <w:fldChar w:fldCharType="end"/>
      </w:r>
    </w:p>
    <w:p w14:paraId="5D3E4905">
      <w:pPr>
        <w:pStyle w:val="9"/>
        <w:tabs>
          <w:tab w:val="right" w:leader="dot" w:pos="8844"/>
        </w:tabs>
        <w:rPr>
          <w:color w:val="auto"/>
        </w:rPr>
      </w:pPr>
      <w:r>
        <w:rPr>
          <w:color w:val="auto"/>
        </w:rPr>
        <w:fldChar w:fldCharType="begin"/>
      </w:r>
      <w:r>
        <w:rPr>
          <w:color w:val="auto"/>
        </w:rPr>
        <w:instrText xml:space="preserve"> HYPERLINK \l _Toc8651 </w:instrText>
      </w:r>
      <w:r>
        <w:rPr>
          <w:color w:val="auto"/>
        </w:rPr>
        <w:fldChar w:fldCharType="separate"/>
      </w:r>
      <w:r>
        <w:rPr>
          <w:rFonts w:hint="eastAsia" w:ascii="楷体" w:hAnsi="楷体" w:eastAsia="楷体"/>
          <w:color w:val="auto"/>
          <w:szCs w:val="32"/>
        </w:rPr>
        <w:t>（二）专业与学历（位）的对应关系</w:t>
      </w:r>
      <w:r>
        <w:rPr>
          <w:color w:val="auto"/>
        </w:rPr>
        <w:tab/>
      </w:r>
      <w:r>
        <w:rPr>
          <w:color w:val="auto"/>
        </w:rPr>
        <w:fldChar w:fldCharType="begin"/>
      </w:r>
      <w:r>
        <w:rPr>
          <w:color w:val="auto"/>
        </w:rPr>
        <w:instrText xml:space="preserve"> PAGEREF _Toc8651 \h </w:instrText>
      </w:r>
      <w:r>
        <w:rPr>
          <w:color w:val="auto"/>
        </w:rPr>
        <w:fldChar w:fldCharType="separate"/>
      </w:r>
      <w:r>
        <w:rPr>
          <w:color w:val="auto"/>
        </w:rPr>
        <w:t>5</w:t>
      </w:r>
      <w:r>
        <w:rPr>
          <w:color w:val="auto"/>
        </w:rPr>
        <w:fldChar w:fldCharType="end"/>
      </w:r>
      <w:r>
        <w:rPr>
          <w:color w:val="auto"/>
        </w:rPr>
        <w:fldChar w:fldCharType="end"/>
      </w:r>
    </w:p>
    <w:p w14:paraId="7326FA2F">
      <w:pPr>
        <w:pStyle w:val="9"/>
        <w:tabs>
          <w:tab w:val="right" w:leader="dot" w:pos="8844"/>
        </w:tabs>
        <w:rPr>
          <w:color w:val="auto"/>
        </w:rPr>
      </w:pPr>
      <w:r>
        <w:rPr>
          <w:color w:val="auto"/>
        </w:rPr>
        <w:fldChar w:fldCharType="begin"/>
      </w:r>
      <w:r>
        <w:rPr>
          <w:color w:val="auto"/>
        </w:rPr>
        <w:instrText xml:space="preserve"> HYPERLINK \l _Toc805 </w:instrText>
      </w:r>
      <w:r>
        <w:rPr>
          <w:color w:val="auto"/>
        </w:rPr>
        <w:fldChar w:fldCharType="separate"/>
      </w:r>
      <w:r>
        <w:rPr>
          <w:rFonts w:hint="eastAsia" w:ascii="楷体" w:hAnsi="楷体" w:eastAsia="楷体"/>
          <w:color w:val="auto"/>
          <w:szCs w:val="32"/>
        </w:rPr>
        <w:t>（三）专业资格的认定</w:t>
      </w:r>
      <w:r>
        <w:rPr>
          <w:color w:val="auto"/>
        </w:rPr>
        <w:tab/>
      </w:r>
      <w:r>
        <w:rPr>
          <w:color w:val="auto"/>
        </w:rPr>
        <w:fldChar w:fldCharType="begin"/>
      </w:r>
      <w:r>
        <w:rPr>
          <w:color w:val="auto"/>
        </w:rPr>
        <w:instrText xml:space="preserve"> PAGEREF _Toc805 \h </w:instrText>
      </w:r>
      <w:r>
        <w:rPr>
          <w:color w:val="auto"/>
        </w:rPr>
        <w:fldChar w:fldCharType="separate"/>
      </w:r>
      <w:r>
        <w:rPr>
          <w:color w:val="auto"/>
        </w:rPr>
        <w:t>6</w:t>
      </w:r>
      <w:r>
        <w:rPr>
          <w:color w:val="auto"/>
        </w:rPr>
        <w:fldChar w:fldCharType="end"/>
      </w:r>
      <w:r>
        <w:rPr>
          <w:color w:val="auto"/>
        </w:rPr>
        <w:fldChar w:fldCharType="end"/>
      </w:r>
    </w:p>
    <w:p w14:paraId="40B770EE">
      <w:pPr>
        <w:pStyle w:val="8"/>
        <w:tabs>
          <w:tab w:val="right" w:leader="dot" w:pos="8844"/>
        </w:tabs>
        <w:rPr>
          <w:color w:val="auto"/>
        </w:rPr>
      </w:pPr>
      <w:r>
        <w:rPr>
          <w:color w:val="auto"/>
        </w:rPr>
        <w:fldChar w:fldCharType="begin"/>
      </w:r>
      <w:r>
        <w:rPr>
          <w:color w:val="auto"/>
        </w:rPr>
        <w:instrText xml:space="preserve"> HYPERLINK \l _Toc28962 </w:instrText>
      </w:r>
      <w:r>
        <w:rPr>
          <w:color w:val="auto"/>
        </w:rPr>
        <w:fldChar w:fldCharType="separate"/>
      </w:r>
      <w:r>
        <w:rPr>
          <w:rFonts w:hint="eastAsia" w:ascii="黑体" w:hAnsi="黑体" w:eastAsia="黑体"/>
          <w:color w:val="auto"/>
          <w:szCs w:val="32"/>
        </w:rPr>
        <w:t>七、工作经历（验）</w:t>
      </w:r>
      <w:r>
        <w:rPr>
          <w:color w:val="auto"/>
        </w:rPr>
        <w:tab/>
      </w:r>
      <w:r>
        <w:rPr>
          <w:color w:val="auto"/>
        </w:rPr>
        <w:fldChar w:fldCharType="begin"/>
      </w:r>
      <w:r>
        <w:rPr>
          <w:color w:val="auto"/>
        </w:rPr>
        <w:instrText xml:space="preserve"> PAGEREF _Toc28962 \h </w:instrText>
      </w:r>
      <w:r>
        <w:rPr>
          <w:color w:val="auto"/>
        </w:rPr>
        <w:fldChar w:fldCharType="separate"/>
      </w:r>
      <w:r>
        <w:rPr>
          <w:color w:val="auto"/>
        </w:rPr>
        <w:t>7</w:t>
      </w:r>
      <w:r>
        <w:rPr>
          <w:color w:val="auto"/>
        </w:rPr>
        <w:fldChar w:fldCharType="end"/>
      </w:r>
      <w:r>
        <w:rPr>
          <w:color w:val="auto"/>
        </w:rPr>
        <w:fldChar w:fldCharType="end"/>
      </w:r>
    </w:p>
    <w:p w14:paraId="45FC6597">
      <w:pPr>
        <w:pStyle w:val="8"/>
        <w:tabs>
          <w:tab w:val="right" w:leader="dot" w:pos="8844"/>
        </w:tabs>
        <w:rPr>
          <w:color w:val="auto"/>
        </w:rPr>
      </w:pPr>
      <w:r>
        <w:rPr>
          <w:color w:val="auto"/>
        </w:rPr>
        <w:fldChar w:fldCharType="begin"/>
      </w:r>
      <w:r>
        <w:rPr>
          <w:color w:val="auto"/>
        </w:rPr>
        <w:instrText xml:space="preserve"> HYPERLINK \l _Toc1727 </w:instrText>
      </w:r>
      <w:r>
        <w:rPr>
          <w:color w:val="auto"/>
        </w:rPr>
        <w:fldChar w:fldCharType="separate"/>
      </w:r>
      <w:r>
        <w:rPr>
          <w:rFonts w:hint="eastAsia" w:ascii="黑体" w:hAnsi="黑体" w:eastAsia="黑体" w:cs="黑体"/>
          <w:color w:val="auto"/>
          <w:szCs w:val="32"/>
        </w:rPr>
        <w:t>八、可免笔试情形</w:t>
      </w:r>
      <w:r>
        <w:rPr>
          <w:color w:val="auto"/>
        </w:rPr>
        <w:tab/>
      </w:r>
      <w:r>
        <w:rPr>
          <w:color w:val="auto"/>
        </w:rPr>
        <w:fldChar w:fldCharType="begin"/>
      </w:r>
      <w:r>
        <w:rPr>
          <w:color w:val="auto"/>
        </w:rPr>
        <w:instrText xml:space="preserve"> PAGEREF _Toc1727 \h </w:instrText>
      </w:r>
      <w:r>
        <w:rPr>
          <w:color w:val="auto"/>
        </w:rPr>
        <w:fldChar w:fldCharType="separate"/>
      </w:r>
      <w:r>
        <w:rPr>
          <w:color w:val="auto"/>
        </w:rPr>
        <w:t>7</w:t>
      </w:r>
      <w:r>
        <w:rPr>
          <w:color w:val="auto"/>
        </w:rPr>
        <w:fldChar w:fldCharType="end"/>
      </w:r>
      <w:r>
        <w:rPr>
          <w:color w:val="auto"/>
        </w:rPr>
        <w:fldChar w:fldCharType="end"/>
      </w:r>
    </w:p>
    <w:p w14:paraId="1BFE3D06">
      <w:pPr>
        <w:pStyle w:val="8"/>
        <w:tabs>
          <w:tab w:val="right" w:leader="dot" w:pos="8844"/>
        </w:tabs>
        <w:rPr>
          <w:color w:val="auto"/>
        </w:rPr>
      </w:pPr>
      <w:r>
        <w:rPr>
          <w:color w:val="auto"/>
        </w:rPr>
        <w:fldChar w:fldCharType="begin"/>
      </w:r>
      <w:r>
        <w:rPr>
          <w:color w:val="auto"/>
        </w:rPr>
        <w:instrText xml:space="preserve"> HYPERLINK \l _Toc9757 </w:instrText>
      </w:r>
      <w:r>
        <w:rPr>
          <w:color w:val="auto"/>
        </w:rPr>
        <w:fldChar w:fldCharType="separate"/>
      </w:r>
      <w:r>
        <w:rPr>
          <w:rFonts w:hint="eastAsia" w:ascii="黑体" w:hAnsi="黑体" w:eastAsia="黑体"/>
          <w:color w:val="auto"/>
          <w:szCs w:val="32"/>
        </w:rPr>
        <w:t>九、岗位开考比例</w:t>
      </w:r>
      <w:r>
        <w:rPr>
          <w:color w:val="auto"/>
        </w:rPr>
        <w:tab/>
      </w:r>
      <w:r>
        <w:rPr>
          <w:color w:val="auto"/>
        </w:rPr>
        <w:fldChar w:fldCharType="begin"/>
      </w:r>
      <w:r>
        <w:rPr>
          <w:color w:val="auto"/>
        </w:rPr>
        <w:instrText xml:space="preserve"> PAGEREF _Toc9757 \h </w:instrText>
      </w:r>
      <w:r>
        <w:rPr>
          <w:color w:val="auto"/>
        </w:rPr>
        <w:fldChar w:fldCharType="separate"/>
      </w:r>
      <w:r>
        <w:rPr>
          <w:color w:val="auto"/>
        </w:rPr>
        <w:t>8</w:t>
      </w:r>
      <w:r>
        <w:rPr>
          <w:color w:val="auto"/>
        </w:rPr>
        <w:fldChar w:fldCharType="end"/>
      </w:r>
      <w:r>
        <w:rPr>
          <w:color w:val="auto"/>
        </w:rPr>
        <w:fldChar w:fldCharType="end"/>
      </w:r>
    </w:p>
    <w:p w14:paraId="38EBDC94">
      <w:pPr>
        <w:pStyle w:val="8"/>
        <w:tabs>
          <w:tab w:val="right" w:leader="dot" w:pos="8844"/>
        </w:tabs>
        <w:rPr>
          <w:color w:val="auto"/>
        </w:rPr>
      </w:pPr>
      <w:r>
        <w:rPr>
          <w:color w:val="auto"/>
        </w:rPr>
        <w:fldChar w:fldCharType="begin"/>
      </w:r>
      <w:r>
        <w:rPr>
          <w:color w:val="auto"/>
        </w:rPr>
        <w:instrText xml:space="preserve"> HYPERLINK \l _Toc27278 </w:instrText>
      </w:r>
      <w:r>
        <w:rPr>
          <w:color w:val="auto"/>
        </w:rPr>
        <w:fldChar w:fldCharType="separate"/>
      </w:r>
      <w:r>
        <w:rPr>
          <w:rFonts w:hint="eastAsia" w:ascii="黑体" w:hAnsi="黑体" w:eastAsia="黑体"/>
          <w:color w:val="auto"/>
          <w:szCs w:val="32"/>
        </w:rPr>
        <w:t>十、笔试加分</w:t>
      </w:r>
      <w:r>
        <w:rPr>
          <w:color w:val="auto"/>
        </w:rPr>
        <w:tab/>
      </w:r>
      <w:r>
        <w:rPr>
          <w:color w:val="auto"/>
        </w:rPr>
        <w:fldChar w:fldCharType="begin"/>
      </w:r>
      <w:r>
        <w:rPr>
          <w:color w:val="auto"/>
        </w:rPr>
        <w:instrText xml:space="preserve"> PAGEREF _Toc27278 \h </w:instrText>
      </w:r>
      <w:r>
        <w:rPr>
          <w:color w:val="auto"/>
        </w:rPr>
        <w:fldChar w:fldCharType="separate"/>
      </w:r>
      <w:r>
        <w:rPr>
          <w:color w:val="auto"/>
        </w:rPr>
        <w:t>8</w:t>
      </w:r>
      <w:r>
        <w:rPr>
          <w:color w:val="auto"/>
        </w:rPr>
        <w:fldChar w:fldCharType="end"/>
      </w:r>
      <w:r>
        <w:rPr>
          <w:color w:val="auto"/>
        </w:rPr>
        <w:fldChar w:fldCharType="end"/>
      </w:r>
    </w:p>
    <w:p w14:paraId="7736F1F8">
      <w:pPr>
        <w:pStyle w:val="9"/>
        <w:tabs>
          <w:tab w:val="right" w:leader="dot" w:pos="8844"/>
        </w:tabs>
        <w:rPr>
          <w:color w:val="auto"/>
        </w:rPr>
      </w:pPr>
      <w:r>
        <w:rPr>
          <w:color w:val="auto"/>
        </w:rPr>
        <w:fldChar w:fldCharType="begin"/>
      </w:r>
      <w:r>
        <w:rPr>
          <w:color w:val="auto"/>
        </w:rPr>
        <w:instrText xml:space="preserve"> HYPERLINK \l _Toc11275 </w:instrText>
      </w:r>
      <w:r>
        <w:rPr>
          <w:color w:val="auto"/>
        </w:rPr>
        <w:fldChar w:fldCharType="separate"/>
      </w:r>
      <w:r>
        <w:rPr>
          <w:rFonts w:hint="eastAsia" w:ascii="楷体" w:hAnsi="楷体" w:eastAsia="楷体" w:cs="楷体"/>
          <w:bCs/>
          <w:color w:val="auto"/>
          <w:szCs w:val="32"/>
        </w:rPr>
        <w:t>（一）加分原则</w:t>
      </w:r>
      <w:r>
        <w:rPr>
          <w:color w:val="auto"/>
        </w:rPr>
        <w:tab/>
      </w:r>
      <w:r>
        <w:rPr>
          <w:color w:val="auto"/>
        </w:rPr>
        <w:fldChar w:fldCharType="begin"/>
      </w:r>
      <w:r>
        <w:rPr>
          <w:color w:val="auto"/>
        </w:rPr>
        <w:instrText xml:space="preserve"> PAGEREF _Toc11275 \h </w:instrText>
      </w:r>
      <w:r>
        <w:rPr>
          <w:color w:val="auto"/>
        </w:rPr>
        <w:fldChar w:fldCharType="separate"/>
      </w:r>
      <w:r>
        <w:rPr>
          <w:color w:val="auto"/>
        </w:rPr>
        <w:t>8</w:t>
      </w:r>
      <w:r>
        <w:rPr>
          <w:color w:val="auto"/>
        </w:rPr>
        <w:fldChar w:fldCharType="end"/>
      </w:r>
      <w:r>
        <w:rPr>
          <w:color w:val="auto"/>
        </w:rPr>
        <w:fldChar w:fldCharType="end"/>
      </w:r>
    </w:p>
    <w:p w14:paraId="098611BA">
      <w:pPr>
        <w:pStyle w:val="9"/>
        <w:tabs>
          <w:tab w:val="right" w:leader="dot" w:pos="8844"/>
        </w:tabs>
        <w:rPr>
          <w:color w:val="auto"/>
        </w:rPr>
      </w:pPr>
      <w:r>
        <w:rPr>
          <w:color w:val="auto"/>
        </w:rPr>
        <w:fldChar w:fldCharType="begin"/>
      </w:r>
      <w:r>
        <w:rPr>
          <w:color w:val="auto"/>
        </w:rPr>
        <w:instrText xml:space="preserve"> HYPERLINK \l _Toc6101 </w:instrText>
      </w:r>
      <w:r>
        <w:rPr>
          <w:color w:val="auto"/>
        </w:rPr>
        <w:fldChar w:fldCharType="separate"/>
      </w:r>
      <w:r>
        <w:rPr>
          <w:rFonts w:hint="eastAsia" w:ascii="楷体" w:hAnsi="楷体" w:eastAsia="楷体" w:cs="楷体"/>
          <w:bCs/>
          <w:color w:val="auto"/>
          <w:szCs w:val="32"/>
        </w:rPr>
        <w:t>（二）加分对象</w:t>
      </w:r>
      <w:r>
        <w:rPr>
          <w:color w:val="auto"/>
        </w:rPr>
        <w:tab/>
      </w:r>
      <w:r>
        <w:rPr>
          <w:color w:val="auto"/>
        </w:rPr>
        <w:fldChar w:fldCharType="begin"/>
      </w:r>
      <w:r>
        <w:rPr>
          <w:color w:val="auto"/>
        </w:rPr>
        <w:instrText xml:space="preserve"> PAGEREF _Toc6101 \h </w:instrText>
      </w:r>
      <w:r>
        <w:rPr>
          <w:color w:val="auto"/>
        </w:rPr>
        <w:fldChar w:fldCharType="separate"/>
      </w:r>
      <w:r>
        <w:rPr>
          <w:color w:val="auto"/>
        </w:rPr>
        <w:t>8</w:t>
      </w:r>
      <w:r>
        <w:rPr>
          <w:color w:val="auto"/>
        </w:rPr>
        <w:fldChar w:fldCharType="end"/>
      </w:r>
      <w:r>
        <w:rPr>
          <w:color w:val="auto"/>
        </w:rPr>
        <w:fldChar w:fldCharType="end"/>
      </w:r>
    </w:p>
    <w:p w14:paraId="081EE8E6">
      <w:pPr>
        <w:pStyle w:val="4"/>
        <w:tabs>
          <w:tab w:val="right" w:leader="dot" w:pos="8844"/>
        </w:tabs>
        <w:rPr>
          <w:color w:val="auto"/>
        </w:rPr>
      </w:pPr>
      <w:r>
        <w:rPr>
          <w:color w:val="auto"/>
        </w:rPr>
        <w:fldChar w:fldCharType="begin"/>
      </w:r>
      <w:r>
        <w:rPr>
          <w:color w:val="auto"/>
        </w:rPr>
        <w:instrText xml:space="preserve"> HYPERLINK \l _Toc28066 </w:instrText>
      </w:r>
      <w:r>
        <w:rPr>
          <w:color w:val="auto"/>
        </w:rPr>
        <w:fldChar w:fldCharType="separate"/>
      </w:r>
      <w:r>
        <w:rPr>
          <w:rFonts w:hint="eastAsia" w:ascii="仿宋_GB2312" w:hAnsi="仿宋_GB2312" w:eastAsia="仿宋_GB2312" w:cs="仿宋_GB2312"/>
          <w:bCs/>
          <w:color w:val="auto"/>
          <w:szCs w:val="32"/>
        </w:rPr>
        <w:t>1.服务基层项目高校毕业人员</w:t>
      </w:r>
      <w:r>
        <w:rPr>
          <w:color w:val="auto"/>
        </w:rPr>
        <w:tab/>
      </w:r>
      <w:r>
        <w:rPr>
          <w:color w:val="auto"/>
        </w:rPr>
        <w:fldChar w:fldCharType="begin"/>
      </w:r>
      <w:r>
        <w:rPr>
          <w:color w:val="auto"/>
        </w:rPr>
        <w:instrText xml:space="preserve"> PAGEREF _Toc28066 \h </w:instrText>
      </w:r>
      <w:r>
        <w:rPr>
          <w:color w:val="auto"/>
        </w:rPr>
        <w:fldChar w:fldCharType="separate"/>
      </w:r>
      <w:r>
        <w:rPr>
          <w:color w:val="auto"/>
        </w:rPr>
        <w:t>8</w:t>
      </w:r>
      <w:r>
        <w:rPr>
          <w:color w:val="auto"/>
        </w:rPr>
        <w:fldChar w:fldCharType="end"/>
      </w:r>
      <w:r>
        <w:rPr>
          <w:color w:val="auto"/>
        </w:rPr>
        <w:fldChar w:fldCharType="end"/>
      </w:r>
    </w:p>
    <w:p w14:paraId="2E35D093">
      <w:pPr>
        <w:pStyle w:val="4"/>
        <w:tabs>
          <w:tab w:val="right" w:leader="dot" w:pos="8844"/>
        </w:tabs>
        <w:rPr>
          <w:color w:val="auto"/>
        </w:rPr>
      </w:pPr>
      <w:r>
        <w:rPr>
          <w:color w:val="auto"/>
        </w:rPr>
        <w:fldChar w:fldCharType="begin"/>
      </w:r>
      <w:r>
        <w:rPr>
          <w:color w:val="auto"/>
        </w:rPr>
        <w:instrText xml:space="preserve"> HYPERLINK \l _Toc25322 </w:instrText>
      </w:r>
      <w:r>
        <w:rPr>
          <w:color w:val="auto"/>
        </w:rPr>
        <w:fldChar w:fldCharType="separate"/>
      </w:r>
      <w:r>
        <w:rPr>
          <w:rFonts w:hint="eastAsia" w:ascii="仿宋_GB2312" w:hAnsi="仿宋_GB2312" w:eastAsia="仿宋_GB2312" w:cs="仿宋_GB2312"/>
          <w:bCs/>
          <w:color w:val="auto"/>
          <w:szCs w:val="32"/>
        </w:rPr>
        <w:t>2.退役士兵（含大学生退役士兵）</w:t>
      </w:r>
      <w:r>
        <w:rPr>
          <w:color w:val="auto"/>
        </w:rPr>
        <w:tab/>
      </w:r>
      <w:r>
        <w:rPr>
          <w:color w:val="auto"/>
        </w:rPr>
        <w:fldChar w:fldCharType="begin"/>
      </w:r>
      <w:r>
        <w:rPr>
          <w:color w:val="auto"/>
        </w:rPr>
        <w:instrText xml:space="preserve"> PAGEREF _Toc25322 \h </w:instrText>
      </w:r>
      <w:r>
        <w:rPr>
          <w:color w:val="auto"/>
        </w:rPr>
        <w:fldChar w:fldCharType="separate"/>
      </w:r>
      <w:r>
        <w:rPr>
          <w:color w:val="auto"/>
        </w:rPr>
        <w:t>9</w:t>
      </w:r>
      <w:r>
        <w:rPr>
          <w:color w:val="auto"/>
        </w:rPr>
        <w:fldChar w:fldCharType="end"/>
      </w:r>
      <w:r>
        <w:rPr>
          <w:color w:val="auto"/>
        </w:rPr>
        <w:fldChar w:fldCharType="end"/>
      </w:r>
    </w:p>
    <w:p w14:paraId="767B3992">
      <w:pPr>
        <w:pStyle w:val="4"/>
        <w:tabs>
          <w:tab w:val="right" w:leader="dot" w:pos="8844"/>
        </w:tabs>
        <w:rPr>
          <w:color w:val="auto"/>
        </w:rPr>
      </w:pPr>
      <w:r>
        <w:rPr>
          <w:color w:val="auto"/>
        </w:rPr>
        <w:fldChar w:fldCharType="begin"/>
      </w:r>
      <w:r>
        <w:rPr>
          <w:color w:val="auto"/>
        </w:rPr>
        <w:instrText xml:space="preserve"> HYPERLINK \l _Toc6260 </w:instrText>
      </w:r>
      <w:r>
        <w:rPr>
          <w:color w:val="auto"/>
        </w:rPr>
        <w:fldChar w:fldCharType="separate"/>
      </w:r>
      <w:r>
        <w:rPr>
          <w:rFonts w:hint="eastAsia" w:ascii="仿宋_GB2312" w:hAnsi="仿宋_GB2312" w:eastAsia="仿宋_GB2312" w:cs="仿宋_GB2312"/>
          <w:bCs/>
          <w:color w:val="auto"/>
          <w:szCs w:val="32"/>
        </w:rPr>
        <w:t>3.退役优秀运动员</w:t>
      </w:r>
      <w:r>
        <w:rPr>
          <w:color w:val="auto"/>
        </w:rPr>
        <w:tab/>
      </w:r>
      <w:r>
        <w:rPr>
          <w:color w:val="auto"/>
        </w:rPr>
        <w:fldChar w:fldCharType="begin"/>
      </w:r>
      <w:r>
        <w:rPr>
          <w:color w:val="auto"/>
        </w:rPr>
        <w:instrText xml:space="preserve"> PAGEREF _Toc6260 \h </w:instrText>
      </w:r>
      <w:r>
        <w:rPr>
          <w:color w:val="auto"/>
        </w:rPr>
        <w:fldChar w:fldCharType="separate"/>
      </w:r>
      <w:r>
        <w:rPr>
          <w:color w:val="auto"/>
        </w:rPr>
        <w:t>9</w:t>
      </w:r>
      <w:r>
        <w:rPr>
          <w:color w:val="auto"/>
        </w:rPr>
        <w:fldChar w:fldCharType="end"/>
      </w:r>
      <w:r>
        <w:rPr>
          <w:color w:val="auto"/>
        </w:rPr>
        <w:fldChar w:fldCharType="end"/>
      </w:r>
    </w:p>
    <w:p w14:paraId="3F61112B">
      <w:pPr>
        <w:pStyle w:val="9"/>
        <w:tabs>
          <w:tab w:val="right" w:leader="dot" w:pos="8844"/>
        </w:tabs>
        <w:rPr>
          <w:color w:val="auto"/>
        </w:rPr>
      </w:pPr>
      <w:r>
        <w:rPr>
          <w:color w:val="auto"/>
        </w:rPr>
        <w:fldChar w:fldCharType="begin"/>
      </w:r>
      <w:r>
        <w:rPr>
          <w:color w:val="auto"/>
        </w:rPr>
        <w:instrText xml:space="preserve"> HYPERLINK \l _Toc2914 </w:instrText>
      </w:r>
      <w:r>
        <w:rPr>
          <w:color w:val="auto"/>
        </w:rPr>
        <w:fldChar w:fldCharType="separate"/>
      </w:r>
      <w:r>
        <w:rPr>
          <w:rFonts w:hint="eastAsia" w:ascii="楷体" w:hAnsi="楷体" w:eastAsia="楷体" w:cs="楷体"/>
          <w:bCs/>
          <w:color w:val="auto"/>
          <w:szCs w:val="32"/>
        </w:rPr>
        <w:t>（三）加分证明材料</w:t>
      </w:r>
      <w:r>
        <w:rPr>
          <w:color w:val="auto"/>
        </w:rPr>
        <w:tab/>
      </w:r>
      <w:r>
        <w:rPr>
          <w:color w:val="auto"/>
        </w:rPr>
        <w:fldChar w:fldCharType="begin"/>
      </w:r>
      <w:r>
        <w:rPr>
          <w:color w:val="auto"/>
        </w:rPr>
        <w:instrText xml:space="preserve"> PAGEREF _Toc2914 \h </w:instrText>
      </w:r>
      <w:r>
        <w:rPr>
          <w:color w:val="auto"/>
        </w:rPr>
        <w:fldChar w:fldCharType="separate"/>
      </w:r>
      <w:r>
        <w:rPr>
          <w:color w:val="auto"/>
        </w:rPr>
        <w:t>9</w:t>
      </w:r>
      <w:r>
        <w:rPr>
          <w:color w:val="auto"/>
        </w:rPr>
        <w:fldChar w:fldCharType="end"/>
      </w:r>
      <w:r>
        <w:rPr>
          <w:color w:val="auto"/>
        </w:rPr>
        <w:fldChar w:fldCharType="end"/>
      </w:r>
    </w:p>
    <w:p w14:paraId="2F297E93">
      <w:pPr>
        <w:pStyle w:val="8"/>
        <w:tabs>
          <w:tab w:val="right" w:leader="dot" w:pos="8844"/>
        </w:tabs>
        <w:rPr>
          <w:color w:val="auto"/>
        </w:rPr>
      </w:pPr>
      <w:r>
        <w:rPr>
          <w:color w:val="auto"/>
        </w:rPr>
        <w:fldChar w:fldCharType="begin"/>
      </w:r>
      <w:r>
        <w:rPr>
          <w:color w:val="auto"/>
        </w:rPr>
        <w:instrText xml:space="preserve"> HYPERLINK \l _Toc15587 </w:instrText>
      </w:r>
      <w:r>
        <w:rPr>
          <w:color w:val="auto"/>
        </w:rPr>
        <w:fldChar w:fldCharType="separate"/>
      </w:r>
      <w:r>
        <w:rPr>
          <w:rFonts w:hint="eastAsia" w:ascii="黑体" w:hAnsi="黑体" w:eastAsia="黑体"/>
          <w:color w:val="auto"/>
          <w:szCs w:val="32"/>
        </w:rPr>
        <w:t>十一、综合总分计算</w:t>
      </w:r>
      <w:r>
        <w:rPr>
          <w:color w:val="auto"/>
        </w:rPr>
        <w:tab/>
      </w:r>
      <w:r>
        <w:rPr>
          <w:color w:val="auto"/>
        </w:rPr>
        <w:fldChar w:fldCharType="begin"/>
      </w:r>
      <w:r>
        <w:rPr>
          <w:color w:val="auto"/>
        </w:rPr>
        <w:instrText xml:space="preserve"> PAGEREF _Toc15587 \h </w:instrText>
      </w:r>
      <w:r>
        <w:rPr>
          <w:color w:val="auto"/>
        </w:rPr>
        <w:fldChar w:fldCharType="separate"/>
      </w:r>
      <w:r>
        <w:rPr>
          <w:color w:val="auto"/>
        </w:rPr>
        <w:t>10</w:t>
      </w:r>
      <w:r>
        <w:rPr>
          <w:color w:val="auto"/>
        </w:rPr>
        <w:fldChar w:fldCharType="end"/>
      </w:r>
      <w:r>
        <w:rPr>
          <w:color w:val="auto"/>
        </w:rPr>
        <w:fldChar w:fldCharType="end"/>
      </w:r>
    </w:p>
    <w:p w14:paraId="4E8897E0">
      <w:pPr>
        <w:pStyle w:val="8"/>
        <w:tabs>
          <w:tab w:val="right" w:leader="dot" w:pos="8844"/>
        </w:tabs>
        <w:rPr>
          <w:color w:val="auto"/>
        </w:rPr>
      </w:pPr>
      <w:r>
        <w:rPr>
          <w:color w:val="auto"/>
        </w:rPr>
        <w:fldChar w:fldCharType="begin"/>
      </w:r>
      <w:r>
        <w:rPr>
          <w:color w:val="auto"/>
        </w:rPr>
        <w:instrText xml:space="preserve"> HYPERLINK \l _Toc31410 </w:instrText>
      </w:r>
      <w:r>
        <w:rPr>
          <w:color w:val="auto"/>
        </w:rPr>
        <w:fldChar w:fldCharType="separate"/>
      </w:r>
      <w:r>
        <w:rPr>
          <w:rFonts w:hint="eastAsia" w:ascii="黑体" w:hAnsi="黑体" w:eastAsia="黑体"/>
          <w:color w:val="auto"/>
          <w:szCs w:val="32"/>
        </w:rPr>
        <w:t>十二、体检和考察</w:t>
      </w:r>
      <w:r>
        <w:rPr>
          <w:color w:val="auto"/>
        </w:rPr>
        <w:tab/>
      </w:r>
      <w:r>
        <w:rPr>
          <w:color w:val="auto"/>
        </w:rPr>
        <w:fldChar w:fldCharType="begin"/>
      </w:r>
      <w:r>
        <w:rPr>
          <w:color w:val="auto"/>
        </w:rPr>
        <w:instrText xml:space="preserve"> PAGEREF _Toc31410 \h </w:instrText>
      </w:r>
      <w:r>
        <w:rPr>
          <w:color w:val="auto"/>
        </w:rPr>
        <w:fldChar w:fldCharType="separate"/>
      </w:r>
      <w:r>
        <w:rPr>
          <w:color w:val="auto"/>
        </w:rPr>
        <w:t>10</w:t>
      </w:r>
      <w:r>
        <w:rPr>
          <w:color w:val="auto"/>
        </w:rPr>
        <w:fldChar w:fldCharType="end"/>
      </w:r>
      <w:r>
        <w:rPr>
          <w:color w:val="auto"/>
        </w:rPr>
        <w:fldChar w:fldCharType="end"/>
      </w:r>
    </w:p>
    <w:p w14:paraId="00C6A4AA">
      <w:pPr>
        <w:pStyle w:val="9"/>
        <w:tabs>
          <w:tab w:val="right" w:leader="dot" w:pos="8844"/>
        </w:tabs>
        <w:rPr>
          <w:color w:val="auto"/>
        </w:rPr>
      </w:pPr>
      <w:r>
        <w:rPr>
          <w:color w:val="auto"/>
        </w:rPr>
        <w:fldChar w:fldCharType="begin"/>
      </w:r>
      <w:r>
        <w:rPr>
          <w:color w:val="auto"/>
        </w:rPr>
        <w:instrText xml:space="preserve"> HYPERLINK \l _Toc14018 </w:instrText>
      </w:r>
      <w:r>
        <w:rPr>
          <w:color w:val="auto"/>
        </w:rPr>
        <w:fldChar w:fldCharType="separate"/>
      </w:r>
      <w:r>
        <w:rPr>
          <w:rFonts w:hint="eastAsia" w:ascii="楷体" w:hAnsi="楷体" w:eastAsia="楷体"/>
          <w:color w:val="auto"/>
          <w:szCs w:val="32"/>
        </w:rPr>
        <w:t>（一）确定体检人选</w:t>
      </w:r>
      <w:r>
        <w:rPr>
          <w:color w:val="auto"/>
        </w:rPr>
        <w:tab/>
      </w:r>
      <w:r>
        <w:rPr>
          <w:color w:val="auto"/>
        </w:rPr>
        <w:fldChar w:fldCharType="begin"/>
      </w:r>
      <w:r>
        <w:rPr>
          <w:color w:val="auto"/>
        </w:rPr>
        <w:instrText xml:space="preserve"> PAGEREF _Toc14018 \h </w:instrText>
      </w:r>
      <w:r>
        <w:rPr>
          <w:color w:val="auto"/>
        </w:rPr>
        <w:fldChar w:fldCharType="separate"/>
      </w:r>
      <w:r>
        <w:rPr>
          <w:color w:val="auto"/>
        </w:rPr>
        <w:t>10</w:t>
      </w:r>
      <w:r>
        <w:rPr>
          <w:color w:val="auto"/>
        </w:rPr>
        <w:fldChar w:fldCharType="end"/>
      </w:r>
      <w:r>
        <w:rPr>
          <w:color w:val="auto"/>
        </w:rPr>
        <w:fldChar w:fldCharType="end"/>
      </w:r>
    </w:p>
    <w:p w14:paraId="29720239">
      <w:pPr>
        <w:pStyle w:val="9"/>
        <w:tabs>
          <w:tab w:val="right" w:leader="dot" w:pos="8844"/>
        </w:tabs>
        <w:rPr>
          <w:color w:val="auto"/>
        </w:rPr>
      </w:pPr>
      <w:r>
        <w:rPr>
          <w:color w:val="auto"/>
        </w:rPr>
        <w:fldChar w:fldCharType="begin"/>
      </w:r>
      <w:r>
        <w:rPr>
          <w:color w:val="auto"/>
        </w:rPr>
        <w:instrText xml:space="preserve"> HYPERLINK \l _Toc7365 </w:instrText>
      </w:r>
      <w:r>
        <w:rPr>
          <w:color w:val="auto"/>
        </w:rPr>
        <w:fldChar w:fldCharType="separate"/>
      </w:r>
      <w:r>
        <w:rPr>
          <w:rFonts w:hint="eastAsia" w:ascii="楷体" w:hAnsi="楷体" w:eastAsia="楷体"/>
          <w:color w:val="auto"/>
          <w:szCs w:val="32"/>
        </w:rPr>
        <w:t>（二）组织体检</w:t>
      </w:r>
      <w:r>
        <w:rPr>
          <w:color w:val="auto"/>
        </w:rPr>
        <w:tab/>
      </w:r>
      <w:r>
        <w:rPr>
          <w:color w:val="auto"/>
        </w:rPr>
        <w:fldChar w:fldCharType="begin"/>
      </w:r>
      <w:r>
        <w:rPr>
          <w:color w:val="auto"/>
        </w:rPr>
        <w:instrText xml:space="preserve"> PAGEREF _Toc7365 \h </w:instrText>
      </w:r>
      <w:r>
        <w:rPr>
          <w:color w:val="auto"/>
        </w:rPr>
        <w:fldChar w:fldCharType="separate"/>
      </w:r>
      <w:r>
        <w:rPr>
          <w:color w:val="auto"/>
        </w:rPr>
        <w:t>11</w:t>
      </w:r>
      <w:r>
        <w:rPr>
          <w:color w:val="auto"/>
        </w:rPr>
        <w:fldChar w:fldCharType="end"/>
      </w:r>
      <w:r>
        <w:rPr>
          <w:color w:val="auto"/>
        </w:rPr>
        <w:fldChar w:fldCharType="end"/>
      </w:r>
    </w:p>
    <w:p w14:paraId="03A721D9">
      <w:pPr>
        <w:pStyle w:val="9"/>
        <w:tabs>
          <w:tab w:val="right" w:leader="dot" w:pos="8844"/>
        </w:tabs>
        <w:rPr>
          <w:color w:val="auto"/>
        </w:rPr>
      </w:pPr>
      <w:r>
        <w:rPr>
          <w:color w:val="auto"/>
        </w:rPr>
        <w:fldChar w:fldCharType="begin"/>
      </w:r>
      <w:r>
        <w:rPr>
          <w:color w:val="auto"/>
        </w:rPr>
        <w:instrText xml:space="preserve"> HYPERLINK \l _Toc27667 </w:instrText>
      </w:r>
      <w:r>
        <w:rPr>
          <w:color w:val="auto"/>
        </w:rPr>
        <w:fldChar w:fldCharType="separate"/>
      </w:r>
      <w:r>
        <w:rPr>
          <w:rFonts w:hint="eastAsia" w:ascii="楷体" w:hAnsi="楷体" w:eastAsia="楷体"/>
          <w:color w:val="auto"/>
          <w:szCs w:val="32"/>
        </w:rPr>
        <w:t>（三）体检依据</w:t>
      </w:r>
      <w:r>
        <w:rPr>
          <w:color w:val="auto"/>
        </w:rPr>
        <w:tab/>
      </w:r>
      <w:r>
        <w:rPr>
          <w:color w:val="auto"/>
        </w:rPr>
        <w:fldChar w:fldCharType="begin"/>
      </w:r>
      <w:r>
        <w:rPr>
          <w:color w:val="auto"/>
        </w:rPr>
        <w:instrText xml:space="preserve"> PAGEREF _Toc27667 \h </w:instrText>
      </w:r>
      <w:r>
        <w:rPr>
          <w:color w:val="auto"/>
        </w:rPr>
        <w:fldChar w:fldCharType="separate"/>
      </w:r>
      <w:r>
        <w:rPr>
          <w:color w:val="auto"/>
        </w:rPr>
        <w:t>11</w:t>
      </w:r>
      <w:r>
        <w:rPr>
          <w:color w:val="auto"/>
        </w:rPr>
        <w:fldChar w:fldCharType="end"/>
      </w:r>
      <w:r>
        <w:rPr>
          <w:color w:val="auto"/>
        </w:rPr>
        <w:fldChar w:fldCharType="end"/>
      </w:r>
    </w:p>
    <w:p w14:paraId="21B4F1B5">
      <w:pPr>
        <w:pStyle w:val="9"/>
        <w:tabs>
          <w:tab w:val="right" w:leader="dot" w:pos="8844"/>
        </w:tabs>
        <w:rPr>
          <w:color w:val="auto"/>
        </w:rPr>
      </w:pPr>
      <w:r>
        <w:rPr>
          <w:color w:val="auto"/>
        </w:rPr>
        <w:fldChar w:fldCharType="begin"/>
      </w:r>
      <w:r>
        <w:rPr>
          <w:color w:val="auto"/>
        </w:rPr>
        <w:instrText xml:space="preserve"> HYPERLINK \l _Toc19031 </w:instrText>
      </w:r>
      <w:r>
        <w:rPr>
          <w:color w:val="auto"/>
        </w:rPr>
        <w:fldChar w:fldCharType="separate"/>
      </w:r>
      <w:r>
        <w:rPr>
          <w:rFonts w:hint="eastAsia" w:ascii="楷体" w:hAnsi="楷体" w:eastAsia="楷体"/>
          <w:color w:val="auto"/>
          <w:szCs w:val="32"/>
        </w:rPr>
        <w:t>（四）体检复检</w:t>
      </w:r>
      <w:r>
        <w:rPr>
          <w:color w:val="auto"/>
        </w:rPr>
        <w:tab/>
      </w:r>
      <w:r>
        <w:rPr>
          <w:color w:val="auto"/>
        </w:rPr>
        <w:fldChar w:fldCharType="begin"/>
      </w:r>
      <w:r>
        <w:rPr>
          <w:color w:val="auto"/>
        </w:rPr>
        <w:instrText xml:space="preserve"> PAGEREF _Toc19031 \h </w:instrText>
      </w:r>
      <w:r>
        <w:rPr>
          <w:color w:val="auto"/>
        </w:rPr>
        <w:fldChar w:fldCharType="separate"/>
      </w:r>
      <w:r>
        <w:rPr>
          <w:color w:val="auto"/>
        </w:rPr>
        <w:t>11</w:t>
      </w:r>
      <w:r>
        <w:rPr>
          <w:color w:val="auto"/>
        </w:rPr>
        <w:fldChar w:fldCharType="end"/>
      </w:r>
      <w:r>
        <w:rPr>
          <w:color w:val="auto"/>
        </w:rPr>
        <w:fldChar w:fldCharType="end"/>
      </w:r>
    </w:p>
    <w:p w14:paraId="3261A2DA">
      <w:pPr>
        <w:pStyle w:val="9"/>
        <w:tabs>
          <w:tab w:val="right" w:leader="dot" w:pos="8844"/>
        </w:tabs>
        <w:rPr>
          <w:color w:val="auto"/>
        </w:rPr>
      </w:pPr>
      <w:r>
        <w:rPr>
          <w:color w:val="auto"/>
        </w:rPr>
        <w:fldChar w:fldCharType="begin"/>
      </w:r>
      <w:r>
        <w:rPr>
          <w:color w:val="auto"/>
        </w:rPr>
        <w:instrText xml:space="preserve"> HYPERLINK \l _Toc6771 </w:instrText>
      </w:r>
      <w:r>
        <w:rPr>
          <w:color w:val="auto"/>
        </w:rPr>
        <w:fldChar w:fldCharType="separate"/>
      </w:r>
      <w:r>
        <w:rPr>
          <w:rFonts w:hint="eastAsia" w:ascii="楷体" w:hAnsi="楷体" w:eastAsia="楷体"/>
          <w:color w:val="auto"/>
          <w:szCs w:val="32"/>
        </w:rPr>
        <w:t>（五）可延迟体检的情形</w:t>
      </w:r>
      <w:r>
        <w:rPr>
          <w:color w:val="auto"/>
        </w:rPr>
        <w:tab/>
      </w:r>
      <w:r>
        <w:rPr>
          <w:color w:val="auto"/>
        </w:rPr>
        <w:fldChar w:fldCharType="begin"/>
      </w:r>
      <w:r>
        <w:rPr>
          <w:color w:val="auto"/>
        </w:rPr>
        <w:instrText xml:space="preserve"> PAGEREF _Toc6771 \h </w:instrText>
      </w:r>
      <w:r>
        <w:rPr>
          <w:color w:val="auto"/>
        </w:rPr>
        <w:fldChar w:fldCharType="separate"/>
      </w:r>
      <w:r>
        <w:rPr>
          <w:color w:val="auto"/>
        </w:rPr>
        <w:t>12</w:t>
      </w:r>
      <w:r>
        <w:rPr>
          <w:color w:val="auto"/>
        </w:rPr>
        <w:fldChar w:fldCharType="end"/>
      </w:r>
      <w:r>
        <w:rPr>
          <w:color w:val="auto"/>
        </w:rPr>
        <w:fldChar w:fldCharType="end"/>
      </w:r>
    </w:p>
    <w:p w14:paraId="706CE381">
      <w:pPr>
        <w:pStyle w:val="9"/>
        <w:tabs>
          <w:tab w:val="right" w:leader="dot" w:pos="8844"/>
        </w:tabs>
        <w:rPr>
          <w:color w:val="auto"/>
        </w:rPr>
      </w:pPr>
      <w:r>
        <w:rPr>
          <w:color w:val="auto"/>
        </w:rPr>
        <w:fldChar w:fldCharType="begin"/>
      </w:r>
      <w:r>
        <w:rPr>
          <w:color w:val="auto"/>
        </w:rPr>
        <w:instrText xml:space="preserve"> HYPERLINK \l _Toc15126 </w:instrText>
      </w:r>
      <w:r>
        <w:rPr>
          <w:color w:val="auto"/>
        </w:rPr>
        <w:fldChar w:fldCharType="separate"/>
      </w:r>
      <w:r>
        <w:rPr>
          <w:rFonts w:hint="eastAsia" w:ascii="楷体" w:hAnsi="楷体" w:eastAsia="楷体"/>
          <w:color w:val="auto"/>
          <w:szCs w:val="32"/>
        </w:rPr>
        <w:t>（六）考察</w:t>
      </w:r>
      <w:r>
        <w:rPr>
          <w:color w:val="auto"/>
        </w:rPr>
        <w:tab/>
      </w:r>
      <w:r>
        <w:rPr>
          <w:color w:val="auto"/>
        </w:rPr>
        <w:fldChar w:fldCharType="begin"/>
      </w:r>
      <w:r>
        <w:rPr>
          <w:color w:val="auto"/>
        </w:rPr>
        <w:instrText xml:space="preserve"> PAGEREF _Toc15126 \h </w:instrText>
      </w:r>
      <w:r>
        <w:rPr>
          <w:color w:val="auto"/>
        </w:rPr>
        <w:fldChar w:fldCharType="separate"/>
      </w:r>
      <w:r>
        <w:rPr>
          <w:color w:val="auto"/>
        </w:rPr>
        <w:t>12</w:t>
      </w:r>
      <w:r>
        <w:rPr>
          <w:color w:val="auto"/>
        </w:rPr>
        <w:fldChar w:fldCharType="end"/>
      </w:r>
      <w:r>
        <w:rPr>
          <w:color w:val="auto"/>
        </w:rPr>
        <w:fldChar w:fldCharType="end"/>
      </w:r>
    </w:p>
    <w:p w14:paraId="29E92851">
      <w:pPr>
        <w:pStyle w:val="8"/>
        <w:tabs>
          <w:tab w:val="right" w:leader="dot" w:pos="8844"/>
        </w:tabs>
        <w:rPr>
          <w:color w:val="auto"/>
        </w:rPr>
      </w:pPr>
      <w:r>
        <w:rPr>
          <w:color w:val="auto"/>
        </w:rPr>
        <w:fldChar w:fldCharType="begin"/>
      </w:r>
      <w:r>
        <w:rPr>
          <w:color w:val="auto"/>
        </w:rPr>
        <w:instrText xml:space="preserve"> HYPERLINK \l _Toc28985 </w:instrText>
      </w:r>
      <w:r>
        <w:rPr>
          <w:color w:val="auto"/>
        </w:rPr>
        <w:fldChar w:fldCharType="separate"/>
      </w:r>
      <w:r>
        <w:rPr>
          <w:rFonts w:hint="eastAsia" w:ascii="黑体" w:hAnsi="黑体" w:eastAsia="黑体"/>
          <w:color w:val="auto"/>
          <w:szCs w:val="32"/>
        </w:rPr>
        <w:t>十三、公示</w:t>
      </w:r>
      <w:r>
        <w:rPr>
          <w:color w:val="auto"/>
        </w:rPr>
        <w:tab/>
      </w:r>
      <w:r>
        <w:rPr>
          <w:color w:val="auto"/>
        </w:rPr>
        <w:fldChar w:fldCharType="begin"/>
      </w:r>
      <w:r>
        <w:rPr>
          <w:color w:val="auto"/>
        </w:rPr>
        <w:instrText xml:space="preserve"> PAGEREF _Toc28985 \h </w:instrText>
      </w:r>
      <w:r>
        <w:rPr>
          <w:color w:val="auto"/>
        </w:rPr>
        <w:fldChar w:fldCharType="separate"/>
      </w:r>
      <w:r>
        <w:rPr>
          <w:color w:val="auto"/>
        </w:rPr>
        <w:t>12</w:t>
      </w:r>
      <w:r>
        <w:rPr>
          <w:color w:val="auto"/>
        </w:rPr>
        <w:fldChar w:fldCharType="end"/>
      </w:r>
      <w:r>
        <w:rPr>
          <w:color w:val="auto"/>
        </w:rPr>
        <w:fldChar w:fldCharType="end"/>
      </w:r>
    </w:p>
    <w:p w14:paraId="7806F7EC">
      <w:pPr>
        <w:pStyle w:val="8"/>
        <w:tabs>
          <w:tab w:val="right" w:leader="dot" w:pos="8844"/>
        </w:tabs>
        <w:rPr>
          <w:color w:val="auto"/>
        </w:rPr>
      </w:pPr>
      <w:r>
        <w:rPr>
          <w:color w:val="auto"/>
        </w:rPr>
        <w:fldChar w:fldCharType="begin"/>
      </w:r>
      <w:r>
        <w:rPr>
          <w:color w:val="auto"/>
        </w:rPr>
        <w:instrText xml:space="preserve"> HYPERLINK \l _Toc26070 </w:instrText>
      </w:r>
      <w:r>
        <w:rPr>
          <w:color w:val="auto"/>
        </w:rPr>
        <w:fldChar w:fldCharType="separate"/>
      </w:r>
      <w:r>
        <w:rPr>
          <w:rFonts w:hint="eastAsia" w:ascii="黑体" w:hAnsi="黑体" w:eastAsia="黑体"/>
          <w:color w:val="auto"/>
          <w:szCs w:val="32"/>
        </w:rPr>
        <w:t>十四、聘用办理</w:t>
      </w:r>
      <w:r>
        <w:rPr>
          <w:color w:val="auto"/>
        </w:rPr>
        <w:tab/>
      </w:r>
      <w:r>
        <w:rPr>
          <w:color w:val="auto"/>
        </w:rPr>
        <w:fldChar w:fldCharType="begin"/>
      </w:r>
      <w:r>
        <w:rPr>
          <w:color w:val="auto"/>
        </w:rPr>
        <w:instrText xml:space="preserve"> PAGEREF _Toc26070 \h </w:instrText>
      </w:r>
      <w:r>
        <w:rPr>
          <w:color w:val="auto"/>
        </w:rPr>
        <w:fldChar w:fldCharType="separate"/>
      </w:r>
      <w:r>
        <w:rPr>
          <w:color w:val="auto"/>
        </w:rPr>
        <w:t>13</w:t>
      </w:r>
      <w:r>
        <w:rPr>
          <w:color w:val="auto"/>
        </w:rPr>
        <w:fldChar w:fldCharType="end"/>
      </w:r>
      <w:r>
        <w:rPr>
          <w:color w:val="auto"/>
        </w:rPr>
        <w:fldChar w:fldCharType="end"/>
      </w:r>
    </w:p>
    <w:p w14:paraId="1A18AAD8">
      <w:pPr>
        <w:pStyle w:val="9"/>
        <w:tabs>
          <w:tab w:val="right" w:leader="dot" w:pos="8844"/>
        </w:tabs>
        <w:rPr>
          <w:color w:val="auto"/>
        </w:rPr>
      </w:pPr>
      <w:r>
        <w:rPr>
          <w:color w:val="auto"/>
        </w:rPr>
        <w:fldChar w:fldCharType="begin"/>
      </w:r>
      <w:r>
        <w:rPr>
          <w:color w:val="auto"/>
        </w:rPr>
        <w:instrText xml:space="preserve"> HYPERLINK \l _Toc25950 </w:instrText>
      </w:r>
      <w:r>
        <w:rPr>
          <w:color w:val="auto"/>
        </w:rPr>
        <w:fldChar w:fldCharType="separate"/>
      </w:r>
      <w:r>
        <w:rPr>
          <w:rFonts w:hint="eastAsia" w:ascii="楷体" w:hAnsi="楷体" w:eastAsia="楷体"/>
          <w:color w:val="auto"/>
          <w:szCs w:val="32"/>
        </w:rPr>
        <w:t>（一）聘用手续办理</w:t>
      </w:r>
      <w:r>
        <w:rPr>
          <w:color w:val="auto"/>
        </w:rPr>
        <w:tab/>
      </w:r>
      <w:r>
        <w:rPr>
          <w:color w:val="auto"/>
        </w:rPr>
        <w:fldChar w:fldCharType="begin"/>
      </w:r>
      <w:r>
        <w:rPr>
          <w:color w:val="auto"/>
        </w:rPr>
        <w:instrText xml:space="preserve"> PAGEREF _Toc25950 \h </w:instrText>
      </w:r>
      <w:r>
        <w:rPr>
          <w:color w:val="auto"/>
        </w:rPr>
        <w:fldChar w:fldCharType="separate"/>
      </w:r>
      <w:r>
        <w:rPr>
          <w:color w:val="auto"/>
        </w:rPr>
        <w:t>13</w:t>
      </w:r>
      <w:r>
        <w:rPr>
          <w:color w:val="auto"/>
        </w:rPr>
        <w:fldChar w:fldCharType="end"/>
      </w:r>
      <w:r>
        <w:rPr>
          <w:color w:val="auto"/>
        </w:rPr>
        <w:fldChar w:fldCharType="end"/>
      </w:r>
    </w:p>
    <w:p w14:paraId="7C3E00EA">
      <w:pPr>
        <w:pStyle w:val="9"/>
        <w:tabs>
          <w:tab w:val="right" w:leader="dot" w:pos="8844"/>
        </w:tabs>
        <w:rPr>
          <w:color w:val="auto"/>
        </w:rPr>
      </w:pPr>
      <w:r>
        <w:rPr>
          <w:color w:val="auto"/>
        </w:rPr>
        <w:fldChar w:fldCharType="begin"/>
      </w:r>
      <w:r>
        <w:rPr>
          <w:color w:val="auto"/>
        </w:rPr>
        <w:instrText xml:space="preserve"> HYPERLINK \l _Toc10077 </w:instrText>
      </w:r>
      <w:r>
        <w:rPr>
          <w:color w:val="auto"/>
        </w:rPr>
        <w:fldChar w:fldCharType="separate"/>
      </w:r>
      <w:r>
        <w:rPr>
          <w:rFonts w:hint="eastAsia" w:ascii="楷体" w:hAnsi="楷体" w:eastAsia="楷体"/>
          <w:color w:val="auto"/>
          <w:szCs w:val="32"/>
        </w:rPr>
        <w:t>（二）岗位聘任</w:t>
      </w:r>
      <w:r>
        <w:rPr>
          <w:color w:val="auto"/>
        </w:rPr>
        <w:tab/>
      </w:r>
      <w:r>
        <w:rPr>
          <w:color w:val="auto"/>
        </w:rPr>
        <w:fldChar w:fldCharType="begin"/>
      </w:r>
      <w:r>
        <w:rPr>
          <w:color w:val="auto"/>
        </w:rPr>
        <w:instrText xml:space="preserve"> PAGEREF _Toc10077 \h </w:instrText>
      </w:r>
      <w:r>
        <w:rPr>
          <w:color w:val="auto"/>
        </w:rPr>
        <w:fldChar w:fldCharType="separate"/>
      </w:r>
      <w:r>
        <w:rPr>
          <w:color w:val="auto"/>
        </w:rPr>
        <w:t>13</w:t>
      </w:r>
      <w:r>
        <w:rPr>
          <w:color w:val="auto"/>
        </w:rPr>
        <w:fldChar w:fldCharType="end"/>
      </w:r>
      <w:r>
        <w:rPr>
          <w:color w:val="auto"/>
        </w:rPr>
        <w:fldChar w:fldCharType="end"/>
      </w:r>
    </w:p>
    <w:p w14:paraId="377DEF74">
      <w:pPr>
        <w:pStyle w:val="8"/>
        <w:tabs>
          <w:tab w:val="right" w:leader="dot" w:pos="8844"/>
        </w:tabs>
        <w:rPr>
          <w:color w:val="auto"/>
        </w:rPr>
      </w:pPr>
      <w:r>
        <w:rPr>
          <w:color w:val="auto"/>
        </w:rPr>
        <w:fldChar w:fldCharType="begin"/>
      </w:r>
      <w:r>
        <w:rPr>
          <w:color w:val="auto"/>
        </w:rPr>
        <w:instrText xml:space="preserve"> HYPERLINK \l _Toc21906 </w:instrText>
      </w:r>
      <w:r>
        <w:rPr>
          <w:color w:val="auto"/>
        </w:rPr>
        <w:fldChar w:fldCharType="separate"/>
      </w:r>
      <w:r>
        <w:rPr>
          <w:rFonts w:hint="eastAsia" w:ascii="黑体" w:hAnsi="黑体" w:eastAsia="黑体"/>
          <w:color w:val="auto"/>
          <w:szCs w:val="32"/>
        </w:rPr>
        <w:t>十五、其他需说明事项</w:t>
      </w:r>
      <w:r>
        <w:rPr>
          <w:color w:val="auto"/>
        </w:rPr>
        <w:tab/>
      </w:r>
      <w:r>
        <w:rPr>
          <w:color w:val="auto"/>
        </w:rPr>
        <w:fldChar w:fldCharType="begin"/>
      </w:r>
      <w:r>
        <w:rPr>
          <w:color w:val="auto"/>
        </w:rPr>
        <w:instrText xml:space="preserve"> PAGEREF _Toc21906 \h </w:instrText>
      </w:r>
      <w:r>
        <w:rPr>
          <w:color w:val="auto"/>
        </w:rPr>
        <w:fldChar w:fldCharType="separate"/>
      </w:r>
      <w:r>
        <w:rPr>
          <w:color w:val="auto"/>
        </w:rPr>
        <w:t>13</w:t>
      </w:r>
      <w:r>
        <w:rPr>
          <w:color w:val="auto"/>
        </w:rPr>
        <w:fldChar w:fldCharType="end"/>
      </w:r>
      <w:r>
        <w:rPr>
          <w:color w:val="auto"/>
        </w:rPr>
        <w:fldChar w:fldCharType="end"/>
      </w:r>
    </w:p>
    <w:p w14:paraId="2DBD5953">
      <w:pPr>
        <w:pStyle w:val="9"/>
        <w:tabs>
          <w:tab w:val="right" w:leader="dot" w:pos="8844"/>
        </w:tabs>
        <w:rPr>
          <w:color w:val="auto"/>
        </w:rPr>
      </w:pPr>
      <w:r>
        <w:rPr>
          <w:color w:val="auto"/>
        </w:rPr>
        <w:fldChar w:fldCharType="begin"/>
      </w:r>
      <w:r>
        <w:rPr>
          <w:color w:val="auto"/>
        </w:rPr>
        <w:instrText xml:space="preserve"> HYPERLINK \l _Toc3213 </w:instrText>
      </w:r>
      <w:r>
        <w:rPr>
          <w:color w:val="auto"/>
        </w:rPr>
        <w:fldChar w:fldCharType="separate"/>
      </w:r>
      <w:r>
        <w:rPr>
          <w:rFonts w:hint="eastAsia" w:ascii="楷体" w:hAnsi="楷体" w:eastAsia="楷体"/>
          <w:color w:val="auto"/>
          <w:szCs w:val="32"/>
        </w:rPr>
        <w:t>（一）全日制普通教育学历</w:t>
      </w:r>
      <w:r>
        <w:rPr>
          <w:color w:val="auto"/>
        </w:rPr>
        <w:tab/>
      </w:r>
      <w:r>
        <w:rPr>
          <w:color w:val="auto"/>
        </w:rPr>
        <w:fldChar w:fldCharType="begin"/>
      </w:r>
      <w:r>
        <w:rPr>
          <w:color w:val="auto"/>
        </w:rPr>
        <w:instrText xml:space="preserve"> PAGEREF _Toc3213 \h </w:instrText>
      </w:r>
      <w:r>
        <w:rPr>
          <w:color w:val="auto"/>
        </w:rPr>
        <w:fldChar w:fldCharType="separate"/>
      </w:r>
      <w:r>
        <w:rPr>
          <w:color w:val="auto"/>
        </w:rPr>
        <w:t>13</w:t>
      </w:r>
      <w:r>
        <w:rPr>
          <w:color w:val="auto"/>
        </w:rPr>
        <w:fldChar w:fldCharType="end"/>
      </w:r>
      <w:r>
        <w:rPr>
          <w:color w:val="auto"/>
        </w:rPr>
        <w:fldChar w:fldCharType="end"/>
      </w:r>
    </w:p>
    <w:p w14:paraId="57ECEE24">
      <w:pPr>
        <w:pStyle w:val="9"/>
        <w:tabs>
          <w:tab w:val="right" w:leader="dot" w:pos="8844"/>
        </w:tabs>
        <w:rPr>
          <w:color w:val="auto"/>
        </w:rPr>
      </w:pPr>
      <w:r>
        <w:rPr>
          <w:color w:val="auto"/>
        </w:rPr>
        <w:fldChar w:fldCharType="begin"/>
      </w:r>
      <w:r>
        <w:rPr>
          <w:color w:val="auto"/>
        </w:rPr>
        <w:instrText xml:space="preserve"> HYPERLINK \l _Toc2107 </w:instrText>
      </w:r>
      <w:r>
        <w:rPr>
          <w:color w:val="auto"/>
        </w:rPr>
        <w:fldChar w:fldCharType="separate"/>
      </w:r>
      <w:r>
        <w:rPr>
          <w:rFonts w:hint="eastAsia" w:ascii="楷体" w:hAnsi="楷体" w:eastAsia="楷体"/>
          <w:color w:val="auto"/>
          <w:szCs w:val="32"/>
        </w:rPr>
        <w:t>（二）职称</w:t>
      </w:r>
      <w:r>
        <w:rPr>
          <w:color w:val="auto"/>
        </w:rPr>
        <w:tab/>
      </w:r>
      <w:r>
        <w:rPr>
          <w:color w:val="auto"/>
        </w:rPr>
        <w:fldChar w:fldCharType="begin"/>
      </w:r>
      <w:r>
        <w:rPr>
          <w:color w:val="auto"/>
        </w:rPr>
        <w:instrText xml:space="preserve"> PAGEREF _Toc2107 \h </w:instrText>
      </w:r>
      <w:r>
        <w:rPr>
          <w:color w:val="auto"/>
        </w:rPr>
        <w:fldChar w:fldCharType="separate"/>
      </w:r>
      <w:r>
        <w:rPr>
          <w:color w:val="auto"/>
        </w:rPr>
        <w:t>13</w:t>
      </w:r>
      <w:r>
        <w:rPr>
          <w:color w:val="auto"/>
        </w:rPr>
        <w:fldChar w:fldCharType="end"/>
      </w:r>
      <w:r>
        <w:rPr>
          <w:color w:val="auto"/>
        </w:rPr>
        <w:fldChar w:fldCharType="end"/>
      </w:r>
    </w:p>
    <w:p w14:paraId="320A508F">
      <w:pPr>
        <w:pStyle w:val="9"/>
        <w:tabs>
          <w:tab w:val="right" w:leader="dot" w:pos="8844"/>
        </w:tabs>
        <w:rPr>
          <w:color w:val="auto"/>
        </w:rPr>
      </w:pPr>
      <w:r>
        <w:rPr>
          <w:color w:val="auto"/>
        </w:rPr>
        <w:fldChar w:fldCharType="begin"/>
      </w:r>
      <w:r>
        <w:rPr>
          <w:color w:val="auto"/>
        </w:rPr>
        <w:instrText xml:space="preserve"> HYPERLINK \l _Toc17153 </w:instrText>
      </w:r>
      <w:r>
        <w:rPr>
          <w:color w:val="auto"/>
        </w:rPr>
        <w:fldChar w:fldCharType="separate"/>
      </w:r>
      <w:r>
        <w:rPr>
          <w:rFonts w:hint="eastAsia" w:ascii="楷体" w:hAnsi="楷体" w:eastAsia="楷体"/>
          <w:color w:val="auto"/>
          <w:szCs w:val="32"/>
        </w:rPr>
        <w:t>（三）规范化培训</w:t>
      </w:r>
      <w:r>
        <w:rPr>
          <w:color w:val="auto"/>
        </w:rPr>
        <w:tab/>
      </w:r>
      <w:r>
        <w:rPr>
          <w:color w:val="auto"/>
        </w:rPr>
        <w:fldChar w:fldCharType="begin"/>
      </w:r>
      <w:r>
        <w:rPr>
          <w:color w:val="auto"/>
        </w:rPr>
        <w:instrText xml:space="preserve"> PAGEREF _Toc17153 \h </w:instrText>
      </w:r>
      <w:r>
        <w:rPr>
          <w:color w:val="auto"/>
        </w:rPr>
        <w:fldChar w:fldCharType="separate"/>
      </w:r>
      <w:r>
        <w:rPr>
          <w:color w:val="auto"/>
        </w:rPr>
        <w:t>14</w:t>
      </w:r>
      <w:r>
        <w:rPr>
          <w:color w:val="auto"/>
        </w:rPr>
        <w:fldChar w:fldCharType="end"/>
      </w:r>
      <w:r>
        <w:rPr>
          <w:color w:val="auto"/>
        </w:rPr>
        <w:fldChar w:fldCharType="end"/>
      </w:r>
    </w:p>
    <w:p w14:paraId="2FBEDE12">
      <w:pPr>
        <w:pStyle w:val="9"/>
        <w:tabs>
          <w:tab w:val="right" w:leader="dot" w:pos="8844"/>
        </w:tabs>
        <w:rPr>
          <w:color w:val="auto"/>
        </w:rPr>
      </w:pPr>
      <w:r>
        <w:rPr>
          <w:color w:val="auto"/>
        </w:rPr>
        <w:fldChar w:fldCharType="begin"/>
      </w:r>
      <w:r>
        <w:rPr>
          <w:color w:val="auto"/>
        </w:rPr>
        <w:instrText xml:space="preserve"> HYPERLINK \l _Toc6704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四</w:t>
      </w:r>
      <w:r>
        <w:rPr>
          <w:rFonts w:hint="eastAsia" w:ascii="楷体" w:hAnsi="楷体" w:eastAsia="楷体"/>
          <w:color w:val="auto"/>
          <w:szCs w:val="32"/>
        </w:rPr>
        <w:t>）生源</w:t>
      </w:r>
      <w:r>
        <w:rPr>
          <w:color w:val="auto"/>
        </w:rPr>
        <w:tab/>
      </w:r>
      <w:r>
        <w:rPr>
          <w:color w:val="auto"/>
        </w:rPr>
        <w:fldChar w:fldCharType="begin"/>
      </w:r>
      <w:r>
        <w:rPr>
          <w:color w:val="auto"/>
        </w:rPr>
        <w:instrText xml:space="preserve"> PAGEREF _Toc6704 \h </w:instrText>
      </w:r>
      <w:r>
        <w:rPr>
          <w:color w:val="auto"/>
        </w:rPr>
        <w:fldChar w:fldCharType="separate"/>
      </w:r>
      <w:r>
        <w:rPr>
          <w:color w:val="auto"/>
        </w:rPr>
        <w:t>15</w:t>
      </w:r>
      <w:r>
        <w:rPr>
          <w:color w:val="auto"/>
        </w:rPr>
        <w:fldChar w:fldCharType="end"/>
      </w:r>
      <w:r>
        <w:rPr>
          <w:color w:val="auto"/>
        </w:rPr>
        <w:fldChar w:fldCharType="end"/>
      </w:r>
    </w:p>
    <w:p w14:paraId="6DDD1894">
      <w:pPr>
        <w:pStyle w:val="9"/>
        <w:tabs>
          <w:tab w:val="right" w:leader="dot" w:pos="8844"/>
        </w:tabs>
        <w:rPr>
          <w:color w:val="auto"/>
        </w:rPr>
      </w:pPr>
      <w:r>
        <w:rPr>
          <w:color w:val="auto"/>
        </w:rPr>
        <w:fldChar w:fldCharType="begin"/>
      </w:r>
      <w:r>
        <w:rPr>
          <w:color w:val="auto"/>
        </w:rPr>
        <w:instrText xml:space="preserve"> HYPERLINK \l _Toc2893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五</w:t>
      </w:r>
      <w:r>
        <w:rPr>
          <w:rFonts w:hint="eastAsia" w:ascii="楷体" w:hAnsi="楷体" w:eastAsia="楷体"/>
          <w:color w:val="auto"/>
          <w:szCs w:val="32"/>
        </w:rPr>
        <w:t>）港澳台人员</w:t>
      </w:r>
      <w:r>
        <w:rPr>
          <w:color w:val="auto"/>
        </w:rPr>
        <w:tab/>
      </w:r>
      <w:r>
        <w:rPr>
          <w:color w:val="auto"/>
        </w:rPr>
        <w:fldChar w:fldCharType="begin"/>
      </w:r>
      <w:r>
        <w:rPr>
          <w:color w:val="auto"/>
        </w:rPr>
        <w:instrText xml:space="preserve"> PAGEREF _Toc2893 \h </w:instrText>
      </w:r>
      <w:r>
        <w:rPr>
          <w:color w:val="auto"/>
        </w:rPr>
        <w:fldChar w:fldCharType="separate"/>
      </w:r>
      <w:r>
        <w:rPr>
          <w:color w:val="auto"/>
        </w:rPr>
        <w:t>15</w:t>
      </w:r>
      <w:r>
        <w:rPr>
          <w:color w:val="auto"/>
        </w:rPr>
        <w:fldChar w:fldCharType="end"/>
      </w:r>
      <w:r>
        <w:rPr>
          <w:color w:val="auto"/>
        </w:rPr>
        <w:fldChar w:fldCharType="end"/>
      </w:r>
    </w:p>
    <w:p w14:paraId="1639598C">
      <w:pPr>
        <w:pStyle w:val="9"/>
        <w:tabs>
          <w:tab w:val="right" w:leader="dot" w:pos="8844"/>
        </w:tabs>
        <w:rPr>
          <w:color w:val="auto"/>
        </w:rPr>
      </w:pPr>
      <w:r>
        <w:rPr>
          <w:color w:val="auto"/>
        </w:rPr>
        <w:fldChar w:fldCharType="begin"/>
      </w:r>
      <w:r>
        <w:rPr>
          <w:color w:val="auto"/>
        </w:rPr>
        <w:instrText xml:space="preserve"> HYPERLINK \l _Toc27749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六</w:t>
      </w:r>
      <w:r>
        <w:rPr>
          <w:rFonts w:hint="eastAsia" w:ascii="楷体" w:hAnsi="楷体" w:eastAsia="楷体"/>
          <w:color w:val="auto"/>
          <w:szCs w:val="32"/>
        </w:rPr>
        <w:t>）技工院校毕业生</w:t>
      </w:r>
      <w:r>
        <w:rPr>
          <w:color w:val="auto"/>
        </w:rPr>
        <w:tab/>
      </w:r>
      <w:r>
        <w:rPr>
          <w:color w:val="auto"/>
        </w:rPr>
        <w:fldChar w:fldCharType="begin"/>
      </w:r>
      <w:r>
        <w:rPr>
          <w:color w:val="auto"/>
        </w:rPr>
        <w:instrText xml:space="preserve"> PAGEREF _Toc27749 \h </w:instrText>
      </w:r>
      <w:r>
        <w:rPr>
          <w:color w:val="auto"/>
        </w:rPr>
        <w:fldChar w:fldCharType="separate"/>
      </w:r>
      <w:r>
        <w:rPr>
          <w:color w:val="auto"/>
        </w:rPr>
        <w:t>16</w:t>
      </w:r>
      <w:r>
        <w:rPr>
          <w:color w:val="auto"/>
        </w:rPr>
        <w:fldChar w:fldCharType="end"/>
      </w:r>
      <w:r>
        <w:rPr>
          <w:color w:val="auto"/>
        </w:rPr>
        <w:fldChar w:fldCharType="end"/>
      </w:r>
    </w:p>
    <w:p w14:paraId="1CA6B599">
      <w:pPr>
        <w:pStyle w:val="8"/>
        <w:tabs>
          <w:tab w:val="right" w:leader="dot" w:pos="8844"/>
        </w:tabs>
        <w:rPr>
          <w:color w:val="auto"/>
        </w:rPr>
      </w:pPr>
      <w:r>
        <w:rPr>
          <w:color w:val="auto"/>
        </w:rPr>
        <w:fldChar w:fldCharType="begin"/>
      </w:r>
      <w:r>
        <w:rPr>
          <w:color w:val="auto"/>
        </w:rPr>
        <w:instrText xml:space="preserve"> HYPERLINK \l _Toc8835 </w:instrText>
      </w:r>
      <w:r>
        <w:rPr>
          <w:color w:val="auto"/>
        </w:rPr>
        <w:fldChar w:fldCharType="separate"/>
      </w:r>
      <w:r>
        <w:rPr>
          <w:rFonts w:hint="eastAsia" w:ascii="黑体" w:hAnsi="黑体" w:eastAsia="黑体"/>
          <w:color w:val="auto"/>
          <w:szCs w:val="32"/>
        </w:rPr>
        <w:t>十六、网上报名操作</w:t>
      </w:r>
      <w:r>
        <w:rPr>
          <w:rFonts w:hint="eastAsia" w:ascii="黑体" w:hAnsi="黑体" w:eastAsia="黑体"/>
          <w:color w:val="auto"/>
          <w:szCs w:val="32"/>
          <w:lang w:eastAsia="zh-CN"/>
        </w:rPr>
        <w:t>须知</w:t>
      </w:r>
      <w:r>
        <w:rPr>
          <w:color w:val="auto"/>
        </w:rPr>
        <w:tab/>
      </w:r>
      <w:r>
        <w:rPr>
          <w:color w:val="auto"/>
        </w:rPr>
        <w:fldChar w:fldCharType="begin"/>
      </w:r>
      <w:r>
        <w:rPr>
          <w:color w:val="auto"/>
        </w:rPr>
        <w:instrText xml:space="preserve"> PAGEREF _Toc8835 \h </w:instrText>
      </w:r>
      <w:r>
        <w:rPr>
          <w:color w:val="auto"/>
        </w:rPr>
        <w:fldChar w:fldCharType="separate"/>
      </w:r>
      <w:r>
        <w:rPr>
          <w:color w:val="auto"/>
        </w:rPr>
        <w:t>16</w:t>
      </w:r>
      <w:r>
        <w:rPr>
          <w:color w:val="auto"/>
        </w:rPr>
        <w:fldChar w:fldCharType="end"/>
      </w:r>
      <w:r>
        <w:rPr>
          <w:color w:val="auto"/>
        </w:rPr>
        <w:fldChar w:fldCharType="end"/>
      </w:r>
    </w:p>
    <w:p w14:paraId="564BD21A">
      <w:pPr>
        <w:rPr>
          <w:color w:val="auto"/>
        </w:rPr>
      </w:pPr>
      <w:r>
        <w:rPr>
          <w:color w:val="auto"/>
        </w:rPr>
        <w:fldChar w:fldCharType="end"/>
      </w:r>
    </w:p>
    <w:p w14:paraId="49BC3D62">
      <w:pPr>
        <w:widowControl/>
        <w:spacing w:line="400" w:lineRule="exact"/>
        <w:rPr>
          <w:rFonts w:ascii="仿宋" w:hAnsi="仿宋" w:eastAsia="仿宋" w:cs="仿宋"/>
          <w:color w:val="auto"/>
          <w:sz w:val="24"/>
          <w:szCs w:val="24"/>
        </w:rPr>
      </w:pPr>
    </w:p>
    <w:p w14:paraId="0DC319F4">
      <w:pPr>
        <w:ind w:firstLine="640" w:firstLineChars="200"/>
        <w:rPr>
          <w:rFonts w:ascii="仿宋_GB2312" w:eastAsia="仿宋_GB2312"/>
          <w:color w:val="auto"/>
          <w:sz w:val="32"/>
          <w:szCs w:val="32"/>
        </w:rPr>
      </w:pPr>
    </w:p>
    <w:p w14:paraId="260F70DB">
      <w:pPr>
        <w:ind w:firstLine="640" w:firstLineChars="200"/>
        <w:rPr>
          <w:rFonts w:ascii="仿宋_GB2312" w:eastAsia="仿宋_GB2312"/>
          <w:color w:val="auto"/>
          <w:sz w:val="32"/>
          <w:szCs w:val="32"/>
        </w:rPr>
      </w:pPr>
    </w:p>
    <w:p w14:paraId="7B8EC289">
      <w:pPr>
        <w:ind w:firstLine="640" w:firstLineChars="200"/>
        <w:rPr>
          <w:rFonts w:ascii="仿宋_GB2312" w:eastAsia="仿宋_GB2312"/>
          <w:color w:val="auto"/>
          <w:sz w:val="32"/>
          <w:szCs w:val="32"/>
        </w:rPr>
      </w:pPr>
    </w:p>
    <w:p w14:paraId="1C790943">
      <w:pPr>
        <w:ind w:firstLine="640" w:firstLineChars="200"/>
        <w:rPr>
          <w:rFonts w:ascii="仿宋_GB2312" w:eastAsia="仿宋_GB2312"/>
          <w:color w:val="auto"/>
          <w:sz w:val="32"/>
          <w:szCs w:val="32"/>
        </w:rPr>
      </w:pPr>
    </w:p>
    <w:p w14:paraId="7A038F4C">
      <w:pPr>
        <w:ind w:firstLine="640" w:firstLineChars="200"/>
        <w:rPr>
          <w:rFonts w:ascii="仿宋_GB2312" w:eastAsia="仿宋_GB2312"/>
          <w:color w:val="auto"/>
          <w:sz w:val="32"/>
          <w:szCs w:val="32"/>
        </w:rPr>
      </w:pPr>
    </w:p>
    <w:p w14:paraId="71FFE085">
      <w:pPr>
        <w:ind w:firstLine="640" w:firstLineChars="200"/>
        <w:rPr>
          <w:rFonts w:ascii="仿宋_GB2312" w:eastAsia="仿宋_GB2312"/>
          <w:color w:val="auto"/>
          <w:sz w:val="32"/>
          <w:szCs w:val="32"/>
        </w:rPr>
      </w:pPr>
    </w:p>
    <w:p w14:paraId="6F8D3399">
      <w:pPr>
        <w:ind w:firstLine="640" w:firstLineChars="200"/>
        <w:rPr>
          <w:rFonts w:ascii="仿宋_GB2312" w:eastAsia="仿宋_GB2312"/>
          <w:color w:val="auto"/>
          <w:sz w:val="32"/>
          <w:szCs w:val="32"/>
        </w:rPr>
      </w:pPr>
    </w:p>
    <w:p w14:paraId="3D7A7925">
      <w:pPr>
        <w:ind w:firstLine="640" w:firstLineChars="200"/>
        <w:rPr>
          <w:rFonts w:ascii="仿宋_GB2312" w:eastAsia="仿宋_GB2312"/>
          <w:color w:val="auto"/>
          <w:sz w:val="32"/>
          <w:szCs w:val="32"/>
        </w:rPr>
      </w:pPr>
    </w:p>
    <w:p w14:paraId="6647BC4A">
      <w:pPr>
        <w:ind w:firstLine="640" w:firstLineChars="200"/>
        <w:rPr>
          <w:rFonts w:ascii="仿宋_GB2312" w:eastAsia="仿宋_GB2312"/>
          <w:color w:val="auto"/>
          <w:sz w:val="32"/>
          <w:szCs w:val="32"/>
        </w:rPr>
      </w:pPr>
    </w:p>
    <w:p w14:paraId="6D49AE72">
      <w:pPr>
        <w:ind w:firstLine="640" w:firstLineChars="200"/>
        <w:rPr>
          <w:rFonts w:ascii="仿宋_GB2312" w:eastAsia="仿宋_GB2312"/>
          <w:color w:val="auto"/>
          <w:sz w:val="32"/>
          <w:szCs w:val="32"/>
        </w:rPr>
      </w:pPr>
    </w:p>
    <w:p w14:paraId="7F843E5D">
      <w:pPr>
        <w:ind w:firstLine="640" w:firstLineChars="200"/>
        <w:rPr>
          <w:rFonts w:ascii="仿宋_GB2312" w:eastAsia="仿宋_GB2312"/>
          <w:color w:val="auto"/>
          <w:sz w:val="32"/>
          <w:szCs w:val="32"/>
        </w:rPr>
      </w:pPr>
    </w:p>
    <w:p w14:paraId="6AF434FE">
      <w:pPr>
        <w:ind w:firstLine="640" w:firstLineChars="200"/>
        <w:rPr>
          <w:rFonts w:ascii="仿宋_GB2312" w:eastAsia="仿宋_GB2312"/>
          <w:color w:val="auto"/>
          <w:sz w:val="32"/>
          <w:szCs w:val="32"/>
        </w:rPr>
        <w:sectPr>
          <w:pgSz w:w="11906" w:h="16838"/>
          <w:pgMar w:top="1418" w:right="1474" w:bottom="1418" w:left="1588" w:header="851" w:footer="992" w:gutter="0"/>
          <w:pgNumType w:start="1"/>
          <w:cols w:space="720" w:num="1"/>
          <w:docGrid w:type="lines" w:linePitch="312" w:charSpace="0"/>
        </w:sectPr>
      </w:pPr>
    </w:p>
    <w:p w14:paraId="621FD18A">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为帮助报考者详细了解报考政策、相关事项及提醒需要注意的有关事项，根据事业单位招聘有关规定，厦门市思明区人力资源和社会保障局（以下简称“区人社局”）编写了《厦门市思明区所属事业单位公开招聘卫生</w:t>
      </w:r>
      <w:r>
        <w:rPr>
          <w:rFonts w:hint="eastAsia" w:ascii="仿宋_GB2312" w:eastAsia="仿宋_GB2312"/>
          <w:color w:val="auto"/>
          <w:sz w:val="32"/>
          <w:szCs w:val="32"/>
          <w:lang w:eastAsia="zh-CN"/>
        </w:rPr>
        <w:t>系列</w:t>
      </w:r>
      <w:r>
        <w:rPr>
          <w:rFonts w:hint="eastAsia" w:ascii="仿宋_GB2312" w:eastAsia="仿宋_GB2312"/>
          <w:color w:val="auto"/>
          <w:sz w:val="32"/>
          <w:szCs w:val="32"/>
        </w:rPr>
        <w:t>专业技术岗位</w:t>
      </w:r>
      <w:r>
        <w:rPr>
          <w:rFonts w:hint="eastAsia" w:ascii="仿宋_GB2312" w:eastAsia="仿宋_GB2312"/>
          <w:color w:val="auto"/>
          <w:sz w:val="32"/>
          <w:szCs w:val="32"/>
          <w:lang w:eastAsia="zh-CN"/>
        </w:rPr>
        <w:t>工作</w:t>
      </w:r>
      <w:r>
        <w:rPr>
          <w:rFonts w:hint="eastAsia" w:ascii="仿宋_GB2312" w:eastAsia="仿宋_GB2312"/>
          <w:color w:val="auto"/>
          <w:sz w:val="32"/>
          <w:szCs w:val="32"/>
        </w:rPr>
        <w:t>人员报考须知（2025年1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月）》。本</w:t>
      </w:r>
      <w:r>
        <w:rPr>
          <w:rFonts w:hint="eastAsia" w:ascii="仿宋_GB2312" w:eastAsia="仿宋_GB2312"/>
          <w:color w:val="auto"/>
          <w:sz w:val="32"/>
          <w:szCs w:val="32"/>
          <w:lang w:eastAsia="zh-CN"/>
        </w:rPr>
        <w:t>须知</w:t>
      </w:r>
      <w:r>
        <w:rPr>
          <w:rFonts w:hint="eastAsia" w:ascii="仿宋_GB2312" w:eastAsia="仿宋_GB2312"/>
          <w:color w:val="auto"/>
          <w:sz w:val="32"/>
          <w:szCs w:val="32"/>
        </w:rPr>
        <w:t>仅适用于厦门市思明区所属事业单位公开招聘卫生</w:t>
      </w:r>
      <w:r>
        <w:rPr>
          <w:rFonts w:hint="eastAsia" w:ascii="仿宋_GB2312" w:eastAsia="仿宋_GB2312"/>
          <w:color w:val="auto"/>
          <w:sz w:val="32"/>
          <w:szCs w:val="32"/>
          <w:lang w:eastAsia="zh-CN"/>
        </w:rPr>
        <w:t>系列</w:t>
      </w:r>
      <w:r>
        <w:rPr>
          <w:rFonts w:hint="eastAsia" w:ascii="仿宋_GB2312" w:eastAsia="仿宋_GB2312"/>
          <w:color w:val="auto"/>
          <w:sz w:val="32"/>
          <w:szCs w:val="32"/>
        </w:rPr>
        <w:t>专业技术</w:t>
      </w:r>
      <w:r>
        <w:rPr>
          <w:rFonts w:hint="eastAsia" w:ascii="仿宋_GB2312" w:eastAsia="仿宋_GB2312"/>
          <w:color w:val="auto"/>
          <w:sz w:val="32"/>
          <w:szCs w:val="32"/>
          <w:lang w:val="en-US" w:eastAsia="zh-CN"/>
        </w:rPr>
        <w:t>岗位工作</w:t>
      </w:r>
      <w:r>
        <w:rPr>
          <w:rFonts w:hint="eastAsia" w:ascii="仿宋_GB2312" w:eastAsia="仿宋_GB2312"/>
          <w:color w:val="auto"/>
          <w:sz w:val="32"/>
          <w:szCs w:val="32"/>
        </w:rPr>
        <w:t>人员考试</w:t>
      </w:r>
      <w:r>
        <w:rPr>
          <w:rFonts w:hint="eastAsia" w:ascii="仿宋_GB2312" w:hAnsi="Times New Roman" w:eastAsia="仿宋_GB2312"/>
          <w:color w:val="auto"/>
          <w:sz w:val="32"/>
          <w:szCs w:val="32"/>
        </w:rPr>
        <w:t>（20</w:t>
      </w:r>
      <w:r>
        <w:rPr>
          <w:rFonts w:hint="eastAsia" w:ascii="仿宋_GB2312" w:hAnsi="Times New Roman" w:eastAsia="仿宋_GB2312"/>
          <w:color w:val="auto"/>
          <w:sz w:val="32"/>
          <w:szCs w:val="32"/>
          <w:lang w:val="en-US" w:eastAsia="zh-CN"/>
        </w:rPr>
        <w:t>25</w:t>
      </w:r>
      <w:r>
        <w:rPr>
          <w:rFonts w:hint="eastAsia" w:ascii="仿宋_GB2312" w:hAnsi="Times New Roman" w:eastAsia="仿宋_GB2312"/>
          <w:color w:val="auto"/>
          <w:sz w:val="32"/>
          <w:szCs w:val="32"/>
        </w:rPr>
        <w:t>年</w:t>
      </w:r>
      <w:r>
        <w:rPr>
          <w:rFonts w:hint="eastAsia" w:ascii="仿宋_GB2312" w:hAnsi="Times New Roman" w:eastAsia="仿宋_GB2312"/>
          <w:color w:val="auto"/>
          <w:sz w:val="32"/>
          <w:szCs w:val="32"/>
          <w:lang w:val="en-US" w:eastAsia="zh-CN"/>
        </w:rPr>
        <w:t>11</w:t>
      </w:r>
      <w:r>
        <w:rPr>
          <w:rFonts w:hint="eastAsia" w:ascii="仿宋_GB2312" w:hAnsi="Times New Roman" w:eastAsia="仿宋_GB2312"/>
          <w:color w:val="auto"/>
          <w:sz w:val="32"/>
          <w:szCs w:val="32"/>
        </w:rPr>
        <w:t>月）</w:t>
      </w:r>
      <w:r>
        <w:rPr>
          <w:rFonts w:hint="eastAsia" w:ascii="仿宋_GB2312" w:eastAsia="仿宋_GB2312"/>
          <w:color w:val="auto"/>
          <w:sz w:val="32"/>
          <w:szCs w:val="32"/>
        </w:rPr>
        <w:t>，由区人社局负责解释。</w:t>
      </w:r>
    </w:p>
    <w:p w14:paraId="7CEDDD90">
      <w:pPr>
        <w:tabs>
          <w:tab w:val="left" w:pos="0"/>
        </w:tabs>
        <w:spacing w:line="480" w:lineRule="exact"/>
        <w:ind w:firstLine="640" w:firstLineChars="200"/>
        <w:outlineLvl w:val="0"/>
        <w:rPr>
          <w:rFonts w:ascii="黑体" w:hAnsi="黑体" w:eastAsia="黑体"/>
          <w:color w:val="auto"/>
          <w:sz w:val="32"/>
          <w:szCs w:val="32"/>
        </w:rPr>
      </w:pPr>
      <w:bookmarkStart w:id="1" w:name="_Toc12367"/>
      <w:bookmarkStart w:id="2" w:name="_Toc24505"/>
      <w:bookmarkStart w:id="3" w:name="_Toc857"/>
      <w:r>
        <w:rPr>
          <w:rFonts w:hint="eastAsia" w:ascii="黑体" w:hAnsi="黑体" w:eastAsia="黑体"/>
          <w:color w:val="auto"/>
          <w:sz w:val="32"/>
          <w:szCs w:val="32"/>
        </w:rPr>
        <w:t>一、基本条件</w:t>
      </w:r>
      <w:bookmarkEnd w:id="1"/>
      <w:bookmarkEnd w:id="2"/>
      <w:bookmarkEnd w:id="3"/>
    </w:p>
    <w:p w14:paraId="4EC5DAF9">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（一）具有中华人民共和国国籍；</w:t>
      </w:r>
    </w:p>
    <w:p w14:paraId="2A880E98">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（二）拥护中华人民共和国宪法,拥护中国共产党领导和社会主义制度； </w:t>
      </w:r>
    </w:p>
    <w:p w14:paraId="47D8D0D2">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（三）具有良好的政治素质和道德品行，具有正常履行职责的身心条件；</w:t>
      </w:r>
    </w:p>
    <w:p w14:paraId="220F2C3B">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（四）18周岁以上、3</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周岁以下（在198</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月至2007年</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月期间出生），对年龄条件另有要求的，以岗位要求为准；</w:t>
      </w:r>
    </w:p>
    <w:p w14:paraId="54E50DF7">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（五）具备招聘岗位设置的资格条件。</w:t>
      </w:r>
    </w:p>
    <w:p w14:paraId="799F727A">
      <w:pPr>
        <w:tabs>
          <w:tab w:val="left" w:pos="0"/>
        </w:tabs>
        <w:spacing w:line="480" w:lineRule="exact"/>
        <w:ind w:firstLine="640" w:firstLineChars="200"/>
        <w:outlineLvl w:val="0"/>
        <w:rPr>
          <w:rFonts w:ascii="黑体" w:hAnsi="黑体" w:eastAsia="黑体"/>
          <w:color w:val="auto"/>
          <w:sz w:val="32"/>
          <w:szCs w:val="32"/>
        </w:rPr>
      </w:pPr>
      <w:bookmarkStart w:id="4" w:name="_Toc30803"/>
      <w:bookmarkStart w:id="5" w:name="_Toc16165"/>
      <w:bookmarkStart w:id="6" w:name="_Toc2819"/>
      <w:r>
        <w:rPr>
          <w:rFonts w:hint="eastAsia" w:ascii="黑体" w:hAnsi="黑体" w:eastAsia="黑体"/>
          <w:color w:val="auto"/>
          <w:sz w:val="32"/>
          <w:szCs w:val="32"/>
        </w:rPr>
        <w:t>二、不得报考或取消报考（聘用）资格的情形</w:t>
      </w:r>
      <w:bookmarkEnd w:id="4"/>
      <w:bookmarkEnd w:id="5"/>
      <w:bookmarkEnd w:id="6"/>
    </w:p>
    <w:p w14:paraId="1E1A0F9B">
      <w:pPr>
        <w:numPr>
          <w:ilvl w:val="0"/>
          <w:numId w:val="1"/>
        </w:numPr>
        <w:spacing w:line="480" w:lineRule="exact"/>
        <w:ind w:firstLine="640"/>
        <w:rPr>
          <w:rFonts w:ascii="仿宋_GB2312" w:eastAsia="仿宋_GB2312"/>
          <w:color w:val="auto"/>
          <w:sz w:val="32"/>
          <w:szCs w:val="32"/>
        </w:rPr>
      </w:pPr>
      <w:r>
        <w:rPr>
          <w:rFonts w:hint="eastAsia" w:ascii="仿宋_GB2312" w:eastAsia="仿宋_GB2312"/>
          <w:color w:val="auto"/>
          <w:sz w:val="32"/>
          <w:szCs w:val="32"/>
        </w:rPr>
        <w:t>曾因犯罪受过刑事处罚的；</w:t>
      </w:r>
    </w:p>
    <w:p w14:paraId="2506BFFE">
      <w:pPr>
        <w:numPr>
          <w:ilvl w:val="0"/>
          <w:numId w:val="1"/>
        </w:numPr>
        <w:spacing w:line="480" w:lineRule="exact"/>
        <w:ind w:firstLine="640"/>
        <w:rPr>
          <w:rFonts w:ascii="仿宋_GB2312" w:eastAsia="仿宋_GB2312"/>
          <w:color w:val="auto"/>
          <w:sz w:val="32"/>
          <w:szCs w:val="32"/>
        </w:rPr>
      </w:pPr>
      <w:r>
        <w:rPr>
          <w:rFonts w:hint="eastAsia" w:ascii="仿宋_GB2312" w:eastAsia="仿宋_GB2312"/>
          <w:color w:val="auto"/>
          <w:sz w:val="32"/>
          <w:szCs w:val="32"/>
        </w:rPr>
        <w:t>曾被开除公职或开除中国共产党党籍的；</w:t>
      </w:r>
    </w:p>
    <w:p w14:paraId="6DDE9F19">
      <w:pPr>
        <w:numPr>
          <w:ilvl w:val="0"/>
          <w:numId w:val="1"/>
        </w:numPr>
        <w:spacing w:line="480" w:lineRule="exact"/>
        <w:ind w:firstLine="640"/>
        <w:rPr>
          <w:rFonts w:ascii="仿宋_GB2312" w:eastAsia="仿宋_GB2312"/>
          <w:color w:val="auto"/>
          <w:sz w:val="32"/>
          <w:szCs w:val="32"/>
        </w:rPr>
      </w:pPr>
      <w:r>
        <w:rPr>
          <w:rFonts w:hint="eastAsia" w:ascii="仿宋_GB2312" w:eastAsia="仿宋_GB2312"/>
          <w:color w:val="auto"/>
          <w:sz w:val="32"/>
          <w:szCs w:val="32"/>
        </w:rPr>
        <w:t>被依法列为失信联合惩戒对象的；</w:t>
      </w:r>
    </w:p>
    <w:p w14:paraId="1C040DF3">
      <w:pPr>
        <w:numPr>
          <w:ilvl w:val="0"/>
          <w:numId w:val="1"/>
        </w:numPr>
        <w:spacing w:line="480" w:lineRule="exact"/>
        <w:ind w:firstLine="640"/>
        <w:rPr>
          <w:rFonts w:ascii="仿宋_GB2312" w:eastAsia="仿宋_GB2312"/>
          <w:color w:val="auto"/>
          <w:sz w:val="32"/>
          <w:szCs w:val="32"/>
        </w:rPr>
      </w:pPr>
      <w:r>
        <w:rPr>
          <w:rFonts w:hint="eastAsia" w:ascii="仿宋_GB2312" w:eastAsia="仿宋_GB2312"/>
          <w:color w:val="auto"/>
          <w:sz w:val="32"/>
          <w:szCs w:val="32"/>
        </w:rPr>
        <w:t>在各级公务员或事业单位招考中被认定有舞弊等严重违反录(聘)用纪律行为的；</w:t>
      </w:r>
    </w:p>
    <w:p w14:paraId="27EBCBF7">
      <w:pPr>
        <w:numPr>
          <w:ilvl w:val="0"/>
          <w:numId w:val="1"/>
        </w:numPr>
        <w:spacing w:line="480" w:lineRule="exact"/>
        <w:ind w:firstLine="640"/>
        <w:rPr>
          <w:rFonts w:ascii="仿宋_GB2312" w:eastAsia="仿宋_GB2312"/>
          <w:color w:val="auto"/>
          <w:sz w:val="32"/>
          <w:szCs w:val="32"/>
        </w:rPr>
      </w:pPr>
      <w:r>
        <w:rPr>
          <w:rFonts w:hint="eastAsia" w:ascii="仿宋_GB2312" w:eastAsia="仿宋_GB2312"/>
          <w:color w:val="auto"/>
          <w:sz w:val="32"/>
          <w:szCs w:val="32"/>
        </w:rPr>
        <w:t>公务员或参照公务员法管理机关（单位）工作人员（以下简称“参公人员”）被辞退未满5年的；</w:t>
      </w:r>
    </w:p>
    <w:p w14:paraId="5A6E96D9">
      <w:pPr>
        <w:numPr>
          <w:ilvl w:val="0"/>
          <w:numId w:val="1"/>
        </w:numPr>
        <w:spacing w:line="48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公务员或参公人员录用后服务年限</w:t>
      </w:r>
      <w:r>
        <w:rPr>
          <w:rFonts w:hint="eastAsia" w:ascii="仿宋_GB2312" w:eastAsia="仿宋_GB2312"/>
          <w:color w:val="auto"/>
          <w:sz w:val="32"/>
          <w:szCs w:val="32"/>
          <w:highlight w:val="none"/>
        </w:rPr>
        <w:t>未达到与当地公务员主管部门或单位组织</w:t>
      </w:r>
      <w:r>
        <w:rPr>
          <w:rFonts w:hint="eastAsia" w:ascii="仿宋_GB2312" w:eastAsia="仿宋_GB2312"/>
          <w:color w:val="auto"/>
          <w:sz w:val="32"/>
          <w:szCs w:val="32"/>
          <w:highlight w:val="none"/>
          <w:lang w:eastAsia="zh-CN"/>
        </w:rPr>
        <w:t>人社</w:t>
      </w:r>
      <w:r>
        <w:rPr>
          <w:rFonts w:hint="eastAsia" w:ascii="仿宋_GB2312" w:eastAsia="仿宋_GB2312"/>
          <w:color w:val="auto"/>
          <w:sz w:val="32"/>
          <w:szCs w:val="32"/>
          <w:highlight w:val="none"/>
        </w:rPr>
        <w:t>部门约定服务年限的；</w:t>
      </w:r>
    </w:p>
    <w:p w14:paraId="57C3050A">
      <w:pPr>
        <w:numPr>
          <w:ilvl w:val="0"/>
          <w:numId w:val="1"/>
        </w:numPr>
        <w:spacing w:line="480" w:lineRule="exact"/>
        <w:ind w:firstLine="640"/>
        <w:rPr>
          <w:rFonts w:ascii="仿宋_GB2312" w:eastAsia="仿宋_GB2312"/>
          <w:color w:val="auto"/>
          <w:sz w:val="32"/>
          <w:szCs w:val="32"/>
        </w:rPr>
      </w:pPr>
      <w:r>
        <w:rPr>
          <w:rFonts w:hint="eastAsia" w:ascii="仿宋_GB2312" w:eastAsia="仿宋_GB2312"/>
          <w:color w:val="auto"/>
          <w:sz w:val="32"/>
          <w:szCs w:val="32"/>
        </w:rPr>
        <w:t>现役军人及普通高等院校全日制在读的非应届毕业生（即202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年及以后才学业期满的全日制普通教育学生）；</w:t>
      </w:r>
    </w:p>
    <w:p w14:paraId="20BE1D58">
      <w:pPr>
        <w:numPr>
          <w:ilvl w:val="0"/>
          <w:numId w:val="1"/>
        </w:numPr>
        <w:spacing w:line="480" w:lineRule="exact"/>
        <w:ind w:firstLine="640"/>
        <w:rPr>
          <w:rFonts w:ascii="仿宋_GB2312" w:eastAsia="仿宋_GB2312"/>
          <w:color w:val="auto"/>
          <w:sz w:val="32"/>
          <w:szCs w:val="32"/>
        </w:rPr>
      </w:pPr>
      <w:r>
        <w:rPr>
          <w:rFonts w:hint="eastAsia" w:ascii="仿宋_GB2312" w:eastAsia="仿宋_GB2312"/>
          <w:color w:val="auto"/>
          <w:sz w:val="32"/>
          <w:szCs w:val="32"/>
        </w:rPr>
        <w:t>涉嫌违法犯罪正在接受司法调查尚未做出结论的，或尚未解除党（政）纪处分的，或正在接受纪律审查的;</w:t>
      </w:r>
    </w:p>
    <w:p w14:paraId="016CE6EE">
      <w:pPr>
        <w:numPr>
          <w:ilvl w:val="0"/>
          <w:numId w:val="1"/>
        </w:numPr>
        <w:spacing w:line="480" w:lineRule="exact"/>
        <w:ind w:firstLine="640"/>
        <w:rPr>
          <w:rFonts w:ascii="仿宋_GB2312" w:eastAsia="仿宋_GB2312"/>
          <w:color w:val="auto"/>
          <w:sz w:val="32"/>
          <w:szCs w:val="32"/>
        </w:rPr>
      </w:pPr>
      <w:r>
        <w:rPr>
          <w:rFonts w:hint="eastAsia" w:ascii="仿宋_GB2312" w:eastAsia="仿宋_GB2312"/>
          <w:color w:val="auto"/>
          <w:sz w:val="32"/>
          <w:szCs w:val="32"/>
        </w:rPr>
        <w:t>聘用后即构成应回避关系的；</w:t>
      </w:r>
    </w:p>
    <w:p w14:paraId="73EF86A7">
      <w:pPr>
        <w:spacing w:line="480" w:lineRule="exact"/>
        <w:ind w:firstLine="640"/>
        <w:jc w:val="left"/>
        <w:rPr>
          <w:rFonts w:ascii="微软雅黑" w:hAnsi="微软雅黑" w:eastAsia="微软雅黑" w:cs="微软雅黑"/>
          <w:color w:val="auto"/>
          <w:sz w:val="32"/>
          <w:szCs w:val="32"/>
        </w:rPr>
      </w:pPr>
      <w:r>
        <w:rPr>
          <w:rFonts w:hint="eastAsia" w:ascii="仿宋_GB2312" w:eastAsia="仿宋_GB2312"/>
          <w:color w:val="auto"/>
          <w:sz w:val="32"/>
          <w:szCs w:val="32"/>
        </w:rPr>
        <w:t>（十）根据原福建省卫生计生委等六部门《关于印发</w:t>
      </w:r>
      <w:r>
        <w:rPr>
          <w:rFonts w:ascii="仿宋_GB2312" w:eastAsia="仿宋_GB2312"/>
          <w:color w:val="auto"/>
          <w:sz w:val="32"/>
          <w:szCs w:val="32"/>
        </w:rPr>
        <w:t>&lt;</w:t>
      </w:r>
      <w:r>
        <w:rPr>
          <w:rFonts w:hint="eastAsia" w:ascii="仿宋_GB2312" w:eastAsia="仿宋_GB2312"/>
          <w:color w:val="auto"/>
          <w:sz w:val="32"/>
          <w:szCs w:val="32"/>
        </w:rPr>
        <w:t>完善福建省住院医师规范化培训制度的实施意见</w:t>
      </w:r>
      <w:r>
        <w:rPr>
          <w:rFonts w:ascii="仿宋_GB2312" w:eastAsia="仿宋_GB2312"/>
          <w:color w:val="auto"/>
          <w:sz w:val="32"/>
          <w:szCs w:val="32"/>
        </w:rPr>
        <w:t>&gt;</w:t>
      </w:r>
      <w:r>
        <w:rPr>
          <w:rFonts w:hint="eastAsia" w:ascii="仿宋_GB2312" w:eastAsia="仿宋_GB2312"/>
          <w:color w:val="auto"/>
          <w:sz w:val="32"/>
          <w:szCs w:val="32"/>
        </w:rPr>
        <w:t>的通知》（闽卫科教〔</w:t>
      </w:r>
      <w:r>
        <w:rPr>
          <w:rFonts w:ascii="仿宋_GB2312" w:eastAsia="仿宋_GB2312"/>
          <w:color w:val="auto"/>
          <w:sz w:val="32"/>
          <w:szCs w:val="32"/>
        </w:rPr>
        <w:t>2015</w:t>
      </w:r>
      <w:r>
        <w:rPr>
          <w:rFonts w:hint="eastAsia" w:ascii="仿宋_GB2312" w:eastAsia="仿宋_GB2312"/>
          <w:color w:val="auto"/>
          <w:sz w:val="32"/>
          <w:szCs w:val="32"/>
        </w:rPr>
        <w:t>〕</w:t>
      </w:r>
      <w:r>
        <w:rPr>
          <w:rFonts w:ascii="仿宋_GB2312" w:eastAsia="仿宋_GB2312"/>
          <w:color w:val="auto"/>
          <w:sz w:val="32"/>
          <w:szCs w:val="32"/>
        </w:rPr>
        <w:t>107</w:t>
      </w:r>
      <w:r>
        <w:rPr>
          <w:rFonts w:hint="eastAsia" w:ascii="仿宋_GB2312" w:eastAsia="仿宋_GB2312"/>
          <w:color w:val="auto"/>
          <w:sz w:val="32"/>
          <w:szCs w:val="32"/>
        </w:rPr>
        <w:t>号）和《福建省卫生计生委关于印发福建省住院医师规范化培训实施方案的通知》（闽卫科教〔</w:t>
      </w:r>
      <w:r>
        <w:rPr>
          <w:rFonts w:ascii="仿宋_GB2312" w:eastAsia="仿宋_GB2312"/>
          <w:color w:val="auto"/>
          <w:sz w:val="32"/>
          <w:szCs w:val="32"/>
        </w:rPr>
        <w:t>2016</w:t>
      </w:r>
      <w:r>
        <w:rPr>
          <w:rFonts w:hint="eastAsia" w:ascii="仿宋_GB2312" w:eastAsia="仿宋_GB2312"/>
          <w:color w:val="auto"/>
          <w:sz w:val="32"/>
          <w:szCs w:val="32"/>
        </w:rPr>
        <w:t>〕</w:t>
      </w:r>
      <w:r>
        <w:rPr>
          <w:rFonts w:ascii="仿宋_GB2312" w:eastAsia="仿宋_GB2312"/>
          <w:color w:val="auto"/>
          <w:sz w:val="32"/>
          <w:szCs w:val="32"/>
        </w:rPr>
        <w:t>83</w:t>
      </w:r>
      <w:r>
        <w:rPr>
          <w:rFonts w:hint="eastAsia" w:ascii="仿宋_GB2312" w:eastAsia="仿宋_GB2312"/>
          <w:color w:val="auto"/>
          <w:sz w:val="32"/>
          <w:szCs w:val="32"/>
        </w:rPr>
        <w:t>号）精神：凡是以单位人身份进入住院医师规范化培训的人员或以单位人身份正在接受住院医师规范化培训的人员，在培训期间及培训结束（含终止培训或退出培训）后</w:t>
      </w:r>
      <w:r>
        <w:rPr>
          <w:rFonts w:ascii="仿宋_GB2312" w:eastAsia="仿宋_GB2312"/>
          <w:color w:val="auto"/>
          <w:sz w:val="32"/>
          <w:szCs w:val="32"/>
        </w:rPr>
        <w:t>3</w:t>
      </w:r>
      <w:r>
        <w:rPr>
          <w:rFonts w:hint="eastAsia" w:ascii="仿宋_GB2312" w:eastAsia="仿宋_GB2312"/>
          <w:color w:val="auto"/>
          <w:sz w:val="32"/>
          <w:szCs w:val="32"/>
        </w:rPr>
        <w:t>年内不得报考培训基地所在单位的任何招聘岗位</w:t>
      </w:r>
      <w:r>
        <w:rPr>
          <w:rFonts w:ascii="仿宋_GB2312" w:eastAsia="仿宋_GB2312"/>
          <w:color w:val="auto"/>
          <w:sz w:val="32"/>
          <w:szCs w:val="32"/>
        </w:rPr>
        <w:t>;</w:t>
      </w:r>
    </w:p>
    <w:p w14:paraId="6026952C">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（十一）法律法规规章规定不得聘为事业单位人员的。</w:t>
      </w:r>
      <w:r>
        <w:rPr>
          <w:rFonts w:ascii="仿宋_GB2312" w:eastAsia="仿宋_GB2312"/>
          <w:color w:val="auto"/>
          <w:sz w:val="32"/>
          <w:szCs w:val="32"/>
        </w:rPr>
        <w:t xml:space="preserve"> </w:t>
      </w:r>
    </w:p>
    <w:p w14:paraId="1DD75BA4">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福建省内机关、事业单位、公立医疗卫生机构工作人员</w:t>
      </w:r>
      <w:r>
        <w:rPr>
          <w:rFonts w:hint="eastAsia" w:ascii="仿宋_GB2312" w:hAnsi="宋体" w:eastAsia="仿宋_GB2312"/>
          <w:color w:val="auto"/>
          <w:sz w:val="32"/>
          <w:szCs w:val="32"/>
        </w:rPr>
        <w:t>（含军队的医疗机构人员，不含辅助、派遣性质人员）</w:t>
      </w:r>
      <w:r>
        <w:rPr>
          <w:rFonts w:hint="eastAsia" w:ascii="仿宋_GB2312" w:eastAsia="仿宋_GB2312"/>
          <w:color w:val="auto"/>
          <w:sz w:val="32"/>
          <w:szCs w:val="32"/>
        </w:rPr>
        <w:t>须征得所在单位同意方可报名，并须在面试资格复核时提供所在单位同意报考书面证明；确有实际困难的，经招聘单位及其主管部门同意，可在体检或考察时提供同意报考证明。</w:t>
      </w:r>
      <w:r>
        <w:rPr>
          <w:rFonts w:ascii="仿宋_GB2312" w:eastAsia="仿宋_GB2312"/>
          <w:color w:val="auto"/>
          <w:sz w:val="32"/>
          <w:szCs w:val="32"/>
        </w:rPr>
        <w:t xml:space="preserve"> </w:t>
      </w:r>
    </w:p>
    <w:p w14:paraId="2745F1D1">
      <w:pPr>
        <w:tabs>
          <w:tab w:val="left" w:pos="0"/>
        </w:tabs>
        <w:spacing w:line="480" w:lineRule="exact"/>
        <w:ind w:firstLine="640" w:firstLineChars="200"/>
        <w:outlineLvl w:val="0"/>
        <w:rPr>
          <w:rFonts w:hint="eastAsia" w:ascii="黑体" w:hAnsi="黑体" w:eastAsia="黑体"/>
          <w:color w:val="auto"/>
          <w:sz w:val="32"/>
          <w:szCs w:val="32"/>
          <w:lang w:eastAsia="zh-CN"/>
        </w:rPr>
      </w:pPr>
      <w:bookmarkStart w:id="7" w:name="_Toc1545"/>
      <w:bookmarkStart w:id="8" w:name="_Toc10955"/>
      <w:r>
        <w:rPr>
          <w:rFonts w:hint="eastAsia" w:ascii="黑体" w:hAnsi="黑体" w:eastAsia="黑体"/>
          <w:color w:val="auto"/>
          <w:sz w:val="32"/>
          <w:szCs w:val="32"/>
        </w:rPr>
        <w:t>三、选报岗位</w:t>
      </w:r>
      <w:bookmarkEnd w:id="7"/>
      <w:r>
        <w:rPr>
          <w:rFonts w:hint="eastAsia" w:ascii="黑体" w:hAnsi="黑体" w:eastAsia="黑体"/>
          <w:color w:val="auto"/>
          <w:sz w:val="32"/>
          <w:szCs w:val="32"/>
          <w:lang w:eastAsia="zh-CN"/>
        </w:rPr>
        <w:t>须知</w:t>
      </w:r>
      <w:bookmarkEnd w:id="8"/>
    </w:p>
    <w:p w14:paraId="2B2C2CA4">
      <w:pPr>
        <w:spacing w:line="480" w:lineRule="exact"/>
        <w:ind w:firstLine="643" w:firstLineChars="200"/>
        <w:outlineLvl w:val="1"/>
        <w:rPr>
          <w:rFonts w:ascii="楷体" w:hAnsi="楷体" w:eastAsia="楷体"/>
          <w:b/>
          <w:color w:val="auto"/>
          <w:sz w:val="32"/>
          <w:szCs w:val="32"/>
        </w:rPr>
      </w:pPr>
      <w:bookmarkStart w:id="9" w:name="_Toc27736"/>
      <w:bookmarkStart w:id="10" w:name="_Toc9161"/>
      <w:r>
        <w:rPr>
          <w:rFonts w:hint="eastAsia" w:ascii="楷体" w:hAnsi="楷体" w:eastAsia="楷体"/>
          <w:b/>
          <w:color w:val="auto"/>
          <w:sz w:val="32"/>
          <w:szCs w:val="32"/>
        </w:rPr>
        <w:t>（一）报考条件确认</w:t>
      </w:r>
      <w:bookmarkEnd w:id="9"/>
      <w:bookmarkEnd w:id="10"/>
      <w:bookmarkStart w:id="124" w:name="_GoBack"/>
      <w:bookmarkEnd w:id="124"/>
    </w:p>
    <w:p w14:paraId="710B7B40">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报考者须在报名时，全面、逐项对照招聘岗位和招聘简章等要求，确认符合报考资格条件。</w:t>
      </w:r>
      <w:r>
        <w:rPr>
          <w:rFonts w:ascii="仿宋_GB2312" w:eastAsia="仿宋_GB2312"/>
          <w:color w:val="auto"/>
          <w:sz w:val="32"/>
          <w:szCs w:val="32"/>
        </w:rPr>
        <w:t xml:space="preserve"> </w:t>
      </w:r>
    </w:p>
    <w:p w14:paraId="2DF1CCE4">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本次考试采取网上报名，</w:t>
      </w:r>
      <w:r>
        <w:rPr>
          <w:rFonts w:hint="eastAsia" w:ascii="仿宋_GB2312" w:hAnsi="仿宋_GB2312" w:eastAsia="仿宋_GB2312" w:cs="仿宋_GB2312"/>
          <w:color w:val="auto"/>
          <w:sz w:val="32"/>
          <w:szCs w:val="32"/>
        </w:rPr>
        <w:t>请报考者登录厦门市卫生健康事业单位招聘考试系统（http://27.159.97.135/index.aspx，以下简称报名系统）报名。曾在报名系统注册信息的考生，可使用原有的用户名和密码登陆，根据系统提示进行个人信息的更新维护及本次考试的报名。</w:t>
      </w:r>
      <w:r>
        <w:rPr>
          <w:rFonts w:hint="eastAsia" w:ascii="仿宋_GB2312" w:eastAsia="仿宋_GB2312"/>
          <w:color w:val="auto"/>
          <w:sz w:val="32"/>
          <w:szCs w:val="32"/>
        </w:rPr>
        <w:t>每名报考者只能报考</w:t>
      </w:r>
      <w:r>
        <w:rPr>
          <w:rFonts w:ascii="仿宋_GB2312" w:eastAsia="仿宋_GB2312"/>
          <w:color w:val="auto"/>
          <w:sz w:val="32"/>
          <w:szCs w:val="32"/>
        </w:rPr>
        <w:t>1</w:t>
      </w:r>
      <w:r>
        <w:rPr>
          <w:rFonts w:hint="eastAsia" w:ascii="仿宋_GB2312" w:eastAsia="仿宋_GB2312"/>
          <w:color w:val="auto"/>
          <w:sz w:val="32"/>
          <w:szCs w:val="32"/>
        </w:rPr>
        <w:t>个岗位，通过资格初审后不得更改，并以通过资格初审的岗位参加考试。</w:t>
      </w:r>
    </w:p>
    <w:p w14:paraId="37323DE6">
      <w:pPr>
        <w:pStyle w:val="10"/>
        <w:widowControl/>
        <w:spacing w:before="60" w:beforeAutospacing="0" w:after="0" w:afterAutospacing="0" w:line="48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各岗位报名人数统计每天</w:t>
      </w:r>
      <w:r>
        <w:rPr>
          <w:rFonts w:ascii="仿宋_GB2312" w:eastAsia="仿宋_GB2312"/>
          <w:color w:val="auto"/>
          <w:sz w:val="32"/>
          <w:szCs w:val="32"/>
        </w:rPr>
        <w:t>24:00</w:t>
      </w:r>
      <w:r>
        <w:rPr>
          <w:rFonts w:hint="eastAsia" w:ascii="仿宋_GB2312" w:eastAsia="仿宋_GB2312"/>
          <w:color w:val="auto"/>
          <w:sz w:val="32"/>
          <w:szCs w:val="32"/>
        </w:rPr>
        <w:t>更新一次，</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日24:00起不再更新。请符合报考条件的人员尽早报名，防止出现网络拥堵无法成功报名，错失考试机会。</w:t>
      </w:r>
    </w:p>
    <w:p w14:paraId="31CB3934">
      <w:pPr>
        <w:spacing w:line="480" w:lineRule="exact"/>
        <w:ind w:firstLine="643" w:firstLineChars="200"/>
        <w:outlineLvl w:val="1"/>
        <w:rPr>
          <w:rFonts w:ascii="楷体" w:hAnsi="楷体" w:eastAsia="楷体"/>
          <w:b/>
          <w:color w:val="auto"/>
          <w:sz w:val="32"/>
          <w:szCs w:val="32"/>
        </w:rPr>
      </w:pPr>
      <w:bookmarkStart w:id="11" w:name="_Toc19188"/>
      <w:bookmarkStart w:id="12" w:name="_Toc14318"/>
      <w:r>
        <w:rPr>
          <w:rFonts w:hint="eastAsia" w:ascii="楷体" w:hAnsi="楷体" w:eastAsia="楷体"/>
          <w:b/>
          <w:color w:val="auto"/>
          <w:sz w:val="32"/>
          <w:szCs w:val="32"/>
        </w:rPr>
        <w:t>（二）照片要求</w:t>
      </w:r>
      <w:bookmarkEnd w:id="11"/>
      <w:bookmarkEnd w:id="12"/>
    </w:p>
    <w:p w14:paraId="5771F959">
      <w:pPr>
        <w:shd w:val="clear" w:color="auto" w:fill="FFFFFF"/>
        <w:adjustRightInd w:val="0"/>
        <w:snapToGrid w:val="0"/>
        <w:spacing w:line="48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请提交近期正面免冠二寸彩色数码证件照（</w:t>
      </w:r>
      <w:r>
        <w:rPr>
          <w:rFonts w:ascii="仿宋_GB2312" w:eastAsia="仿宋_GB2312"/>
          <w:color w:val="auto"/>
          <w:sz w:val="32"/>
          <w:szCs w:val="32"/>
        </w:rPr>
        <w:t>jpg</w:t>
      </w:r>
      <w:r>
        <w:rPr>
          <w:rFonts w:hint="eastAsia" w:ascii="仿宋_GB2312" w:eastAsia="仿宋_GB2312"/>
          <w:color w:val="auto"/>
          <w:sz w:val="32"/>
          <w:szCs w:val="32"/>
        </w:rPr>
        <w:t>格式，规格</w:t>
      </w:r>
      <w:r>
        <w:rPr>
          <w:rFonts w:ascii="仿宋_GB2312" w:eastAsia="仿宋_GB2312"/>
          <w:color w:val="auto"/>
          <w:sz w:val="32"/>
          <w:szCs w:val="32"/>
        </w:rPr>
        <w:t>200K</w:t>
      </w:r>
      <w:r>
        <w:rPr>
          <w:rFonts w:hint="eastAsia" w:ascii="仿宋_GB2312" w:eastAsia="仿宋_GB2312"/>
          <w:color w:val="auto"/>
          <w:sz w:val="32"/>
          <w:szCs w:val="32"/>
        </w:rPr>
        <w:t>以下）。</w:t>
      </w:r>
    </w:p>
    <w:p w14:paraId="3302A2C3">
      <w:pPr>
        <w:shd w:val="clear" w:color="auto" w:fill="FFFFFF"/>
        <w:adjustRightInd w:val="0"/>
        <w:snapToGrid w:val="0"/>
        <w:spacing w:line="48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以下为常见不合格照片：①着制式服装照（公安、工商、武警等）；②着帽子或太醒目、夸张首饰等；③模糊不清晰的；④眼镜反光的；⑤明显不是个人照片的（如风景照、名人照等）；</w:t>
      </w:r>
      <w:r>
        <w:rPr>
          <w:rFonts w:ascii="仿宋_GB2312" w:eastAsia="仿宋_GB2312"/>
          <w:color w:val="auto"/>
          <w:sz w:val="32"/>
          <w:szCs w:val="32"/>
        </w:rPr>
        <w:t xml:space="preserve"> </w:t>
      </w:r>
      <w:r>
        <w:rPr>
          <w:rFonts w:hint="eastAsia" w:ascii="仿宋_GB2312" w:eastAsia="仿宋_GB2312"/>
          <w:color w:val="auto"/>
          <w:sz w:val="32"/>
          <w:szCs w:val="32"/>
        </w:rPr>
        <w:t>⑥随意自拍的半身照，全身照等无法看清楚脸的；⑦头发刘海遮挡面大的；⑧照片比例变形的；⑨手持证件的照片；⑩其他难以清晰辨认的。</w:t>
      </w:r>
    </w:p>
    <w:p w14:paraId="2FAF551A">
      <w:pPr>
        <w:spacing w:line="480" w:lineRule="exact"/>
        <w:ind w:firstLine="643" w:firstLineChars="200"/>
        <w:outlineLvl w:val="1"/>
        <w:rPr>
          <w:rFonts w:ascii="楷体" w:hAnsi="楷体" w:eastAsia="楷体"/>
          <w:b/>
          <w:color w:val="auto"/>
          <w:sz w:val="32"/>
          <w:szCs w:val="32"/>
        </w:rPr>
      </w:pPr>
      <w:bookmarkStart w:id="13" w:name="_Toc29558"/>
      <w:bookmarkStart w:id="14" w:name="_Toc9551"/>
      <w:r>
        <w:rPr>
          <w:rFonts w:hint="eastAsia" w:ascii="楷体" w:hAnsi="楷体" w:eastAsia="楷体"/>
          <w:b/>
          <w:color w:val="auto"/>
          <w:sz w:val="32"/>
          <w:szCs w:val="32"/>
        </w:rPr>
        <w:t>（三）</w:t>
      </w:r>
      <w:bookmarkEnd w:id="13"/>
      <w:bookmarkStart w:id="15" w:name="_Toc548"/>
      <w:r>
        <w:rPr>
          <w:rFonts w:hint="eastAsia" w:ascii="楷体" w:hAnsi="楷体" w:eastAsia="楷体"/>
          <w:b/>
          <w:color w:val="auto"/>
          <w:sz w:val="32"/>
          <w:szCs w:val="32"/>
        </w:rPr>
        <w:t>回避情形</w:t>
      </w:r>
      <w:bookmarkEnd w:id="14"/>
      <w:bookmarkEnd w:id="15"/>
    </w:p>
    <w:p w14:paraId="5DD2983E">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rPr>
        <w:t>(</w:t>
      </w:r>
      <w:r>
        <w:rPr>
          <w:rFonts w:hint="eastAsia" w:ascii="仿宋_GB2312" w:eastAsia="仿宋_GB2312"/>
          <w:color w:val="auto"/>
          <w:sz w:val="32"/>
          <w:szCs w:val="32"/>
        </w:rPr>
        <w:t>人事</w:t>
      </w:r>
      <w:r>
        <w:rPr>
          <w:rFonts w:ascii="仿宋_GB2312" w:eastAsia="仿宋_GB2312"/>
          <w:color w:val="auto"/>
          <w:sz w:val="32"/>
          <w:szCs w:val="32"/>
        </w:rPr>
        <w:t>)</w:t>
      </w:r>
      <w:r>
        <w:rPr>
          <w:rFonts w:hint="eastAsia" w:ascii="仿宋_GB2312" w:eastAsia="仿宋_GB2312"/>
          <w:color w:val="auto"/>
          <w:sz w:val="32"/>
          <w:szCs w:val="32"/>
        </w:rPr>
        <w:t>、纪检监察、审计、财务工作的岗位，也不得聘用至双方直接隶属于同一领导人员的从事组织</w:t>
      </w:r>
      <w:r>
        <w:rPr>
          <w:rFonts w:ascii="仿宋_GB2312" w:eastAsia="仿宋_GB2312"/>
          <w:color w:val="auto"/>
          <w:sz w:val="32"/>
          <w:szCs w:val="32"/>
        </w:rPr>
        <w:t>(</w:t>
      </w:r>
      <w:r>
        <w:rPr>
          <w:rFonts w:hint="eastAsia" w:ascii="仿宋_GB2312" w:eastAsia="仿宋_GB2312"/>
          <w:color w:val="auto"/>
          <w:sz w:val="32"/>
          <w:szCs w:val="32"/>
        </w:rPr>
        <w:t>人事</w:t>
      </w:r>
      <w:r>
        <w:rPr>
          <w:rFonts w:ascii="仿宋_GB2312" w:eastAsia="仿宋_GB2312"/>
          <w:color w:val="auto"/>
          <w:sz w:val="32"/>
          <w:szCs w:val="32"/>
        </w:rPr>
        <w:t>)</w:t>
      </w:r>
      <w:r>
        <w:rPr>
          <w:rFonts w:hint="eastAsia" w:ascii="仿宋_GB2312" w:eastAsia="仿宋_GB2312"/>
          <w:color w:val="auto"/>
          <w:sz w:val="32"/>
          <w:szCs w:val="32"/>
        </w:rPr>
        <w:t>、纪检监察、审计、财务工作的内设机构正职岗位：</w:t>
      </w:r>
    </w:p>
    <w:p w14:paraId="143BBF30">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夫妻关系</w:t>
      </w:r>
      <w:r>
        <w:rPr>
          <w:rFonts w:ascii="仿宋_GB2312" w:eastAsia="仿宋_GB2312"/>
          <w:color w:val="auto"/>
          <w:sz w:val="32"/>
          <w:szCs w:val="32"/>
        </w:rPr>
        <w:t>;</w:t>
      </w:r>
    </w:p>
    <w:p w14:paraId="5B154734">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直系血亲关系，包括祖父母、外祖父母、父母、子女、孙子女、外孙子女</w:t>
      </w:r>
      <w:r>
        <w:rPr>
          <w:rFonts w:ascii="仿宋_GB2312" w:eastAsia="仿宋_GB2312"/>
          <w:color w:val="auto"/>
          <w:sz w:val="32"/>
          <w:szCs w:val="32"/>
        </w:rPr>
        <w:t>;</w:t>
      </w:r>
    </w:p>
    <w:p w14:paraId="57E201CF">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三代以内旁系血亲关系，包括叔伯姑舅姨、兄弟姐妹、堂兄弟姐妹、表兄弟姐妹、侄子女、甥子女</w:t>
      </w:r>
      <w:r>
        <w:rPr>
          <w:rFonts w:ascii="仿宋_GB2312" w:eastAsia="仿宋_GB2312"/>
          <w:color w:val="auto"/>
          <w:sz w:val="32"/>
          <w:szCs w:val="32"/>
        </w:rPr>
        <w:t>;</w:t>
      </w:r>
    </w:p>
    <w:p w14:paraId="57CD5267">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近姻亲关系，包括配偶的父母、配偶的兄弟姐妹及其配偶、子女的配偶及子女配偶的父母、三代以内旁系血亲的配偶</w:t>
      </w:r>
      <w:r>
        <w:rPr>
          <w:rFonts w:ascii="仿宋_GB2312" w:eastAsia="仿宋_GB2312"/>
          <w:color w:val="auto"/>
          <w:sz w:val="32"/>
          <w:szCs w:val="32"/>
        </w:rPr>
        <w:t>;</w:t>
      </w:r>
    </w:p>
    <w:p w14:paraId="55CE928A">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其他亲属关系，包括养父母子女、形成抚养关系的继父母子女及由此形成的直系血亲、三代以内旁系血亲和近姻亲关系。</w:t>
      </w:r>
    </w:p>
    <w:p w14:paraId="77D946B2">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所称直接上下级领导关系包括：</w:t>
      </w:r>
    </w:p>
    <w:p w14:paraId="74A8B867">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领导班子正职与副职</w:t>
      </w:r>
      <w:r>
        <w:rPr>
          <w:rFonts w:ascii="仿宋_GB2312" w:eastAsia="仿宋_GB2312"/>
          <w:color w:val="auto"/>
          <w:sz w:val="32"/>
          <w:szCs w:val="32"/>
        </w:rPr>
        <w:t>;</w:t>
      </w:r>
    </w:p>
    <w:p w14:paraId="7CA504B3">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同一内设机构正职与副职</w:t>
      </w:r>
      <w:r>
        <w:rPr>
          <w:rFonts w:ascii="仿宋_GB2312" w:eastAsia="仿宋_GB2312"/>
          <w:color w:val="auto"/>
          <w:sz w:val="32"/>
          <w:szCs w:val="32"/>
        </w:rPr>
        <w:t>;</w:t>
      </w:r>
    </w:p>
    <w:p w14:paraId="292F0092">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上级正职、副职与下级正职</w:t>
      </w:r>
      <w:r>
        <w:rPr>
          <w:rFonts w:ascii="仿宋_GB2312" w:eastAsia="仿宋_GB2312"/>
          <w:color w:val="auto"/>
          <w:sz w:val="32"/>
          <w:szCs w:val="32"/>
        </w:rPr>
        <w:t>;</w:t>
      </w:r>
    </w:p>
    <w:p w14:paraId="225E293D">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单位无内设机构的，其正职、副职与其他管理人员以及从事审计、财务工作的专业技术人员</w:t>
      </w:r>
      <w:r>
        <w:rPr>
          <w:rFonts w:ascii="仿宋_GB2312" w:eastAsia="仿宋_GB2312"/>
          <w:color w:val="auto"/>
          <w:sz w:val="32"/>
          <w:szCs w:val="32"/>
        </w:rPr>
        <w:t>;</w:t>
      </w:r>
    </w:p>
    <w:p w14:paraId="5E028A43">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内设机构无下一级单位的，其正职、副职与其他管理人员以及从事审计、财务工作的专业技术人员。</w:t>
      </w:r>
    </w:p>
    <w:p w14:paraId="72506CD9">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从事招聘工作的人员存在应当回避情形的，须实行履职回避。</w:t>
      </w:r>
    </w:p>
    <w:p w14:paraId="1F5EDB83">
      <w:pPr>
        <w:spacing w:line="480" w:lineRule="exact"/>
        <w:ind w:firstLine="640" w:firstLineChars="200"/>
        <w:outlineLvl w:val="0"/>
        <w:rPr>
          <w:rFonts w:ascii="黑体" w:hAnsi="黑体" w:eastAsia="黑体"/>
          <w:color w:val="auto"/>
          <w:sz w:val="32"/>
          <w:szCs w:val="32"/>
        </w:rPr>
      </w:pPr>
      <w:bookmarkStart w:id="16" w:name="_Toc10798"/>
      <w:bookmarkStart w:id="17" w:name="_Toc32234"/>
      <w:r>
        <w:rPr>
          <w:rFonts w:hint="eastAsia" w:ascii="黑体" w:hAnsi="黑体" w:eastAsia="黑体"/>
          <w:color w:val="auto"/>
          <w:sz w:val="32"/>
          <w:szCs w:val="32"/>
        </w:rPr>
        <w:t>四、年龄、资格（历）等的计算办法</w:t>
      </w:r>
      <w:bookmarkEnd w:id="16"/>
      <w:bookmarkEnd w:id="17"/>
    </w:p>
    <w:p w14:paraId="1E9479CC">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如无特别说明，相关年限的计算、证书取得时间等，均指计算截至报名截止日，即202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w:t>
      </w:r>
    </w:p>
    <w:p w14:paraId="78F3EE3F">
      <w:pPr>
        <w:numPr>
          <w:ilvl w:val="0"/>
          <w:numId w:val="2"/>
        </w:numPr>
        <w:spacing w:line="480" w:lineRule="exact"/>
        <w:ind w:firstLine="643" w:firstLineChars="200"/>
        <w:outlineLvl w:val="1"/>
        <w:rPr>
          <w:rFonts w:ascii="楷体" w:hAnsi="楷体" w:eastAsia="楷体" w:cs="楷体"/>
          <w:b/>
          <w:bCs/>
          <w:color w:val="auto"/>
          <w:sz w:val="32"/>
          <w:szCs w:val="32"/>
        </w:rPr>
      </w:pPr>
      <w:bookmarkStart w:id="18" w:name="_Toc5440"/>
      <w:r>
        <w:rPr>
          <w:rFonts w:hint="eastAsia" w:ascii="楷体" w:hAnsi="楷体" w:eastAsia="楷体" w:cs="楷体"/>
          <w:b/>
          <w:bCs/>
          <w:color w:val="auto"/>
          <w:sz w:val="32"/>
          <w:szCs w:val="32"/>
        </w:rPr>
        <w:t>年龄</w:t>
      </w:r>
      <w:bookmarkEnd w:id="18"/>
    </w:p>
    <w:p w14:paraId="763DBB87">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最高年龄要求3</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周岁是指18周岁以上、3</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周岁以下（在19</w:t>
      </w:r>
      <w:r>
        <w:rPr>
          <w:rFonts w:hint="eastAsia" w:ascii="仿宋_GB2312" w:eastAsia="仿宋_GB2312"/>
          <w:color w:val="auto"/>
          <w:sz w:val="32"/>
          <w:szCs w:val="32"/>
          <w:lang w:val="en-US" w:eastAsia="zh-CN"/>
        </w:rPr>
        <w:t>86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月至200</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月期间出生）的人员。</w:t>
      </w:r>
    </w:p>
    <w:p w14:paraId="33261F49">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其他年龄要求按此类推。</w:t>
      </w:r>
    </w:p>
    <w:p w14:paraId="301DEC1D">
      <w:pPr>
        <w:numPr>
          <w:ilvl w:val="0"/>
          <w:numId w:val="2"/>
        </w:numPr>
        <w:spacing w:line="480" w:lineRule="exact"/>
        <w:ind w:firstLine="643" w:firstLineChars="200"/>
        <w:outlineLvl w:val="1"/>
        <w:rPr>
          <w:rFonts w:ascii="楷体" w:hAnsi="楷体" w:eastAsia="楷体" w:cs="楷体"/>
          <w:b/>
          <w:bCs/>
          <w:color w:val="auto"/>
          <w:sz w:val="32"/>
          <w:szCs w:val="32"/>
        </w:rPr>
      </w:pPr>
      <w:bookmarkStart w:id="19" w:name="_Toc1261"/>
      <w:r>
        <w:rPr>
          <w:rFonts w:hint="eastAsia" w:ascii="楷体" w:hAnsi="楷体" w:eastAsia="楷体" w:cs="楷体"/>
          <w:b/>
          <w:bCs/>
          <w:color w:val="auto"/>
          <w:sz w:val="32"/>
          <w:szCs w:val="32"/>
        </w:rPr>
        <w:t>资格（历）等</w:t>
      </w:r>
      <w:bookmarkEnd w:id="19"/>
    </w:p>
    <w:p w14:paraId="5943F8A8">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岗位资格条件、《简章》和《报考</w:t>
      </w:r>
      <w:r>
        <w:rPr>
          <w:rFonts w:hint="eastAsia" w:ascii="仿宋_GB2312" w:eastAsia="仿宋_GB2312"/>
          <w:color w:val="auto"/>
          <w:sz w:val="32"/>
          <w:szCs w:val="32"/>
          <w:lang w:eastAsia="zh-CN"/>
        </w:rPr>
        <w:t>须知</w:t>
      </w:r>
      <w:r>
        <w:rPr>
          <w:rFonts w:hint="eastAsia" w:ascii="仿宋_GB2312" w:eastAsia="仿宋_GB2312"/>
          <w:color w:val="auto"/>
          <w:sz w:val="32"/>
          <w:szCs w:val="32"/>
        </w:rPr>
        <w:t>》要求具有</w:t>
      </w:r>
      <w:r>
        <w:rPr>
          <w:rFonts w:ascii="Arial" w:hAnsi="Arial" w:eastAsia="仿宋_GB2312" w:cs="Arial"/>
          <w:color w:val="auto"/>
          <w:sz w:val="32"/>
          <w:szCs w:val="32"/>
        </w:rPr>
        <w:t>××</w:t>
      </w:r>
      <w:r>
        <w:rPr>
          <w:rFonts w:hint="eastAsia" w:ascii="仿宋_GB2312" w:eastAsia="仿宋_GB2312"/>
          <w:color w:val="auto"/>
          <w:sz w:val="32"/>
          <w:szCs w:val="32"/>
        </w:rPr>
        <w:t>条件以上的，如无特别说明，均含本数。如：具有</w:t>
      </w:r>
      <w:r>
        <w:rPr>
          <w:rFonts w:ascii="仿宋_GB2312" w:eastAsia="仿宋_GB2312"/>
          <w:color w:val="auto"/>
          <w:sz w:val="32"/>
          <w:szCs w:val="32"/>
        </w:rPr>
        <w:t>2</w:t>
      </w:r>
      <w:r>
        <w:rPr>
          <w:rFonts w:hint="eastAsia" w:ascii="仿宋_GB2312" w:eastAsia="仿宋_GB2312"/>
          <w:color w:val="auto"/>
          <w:sz w:val="32"/>
          <w:szCs w:val="32"/>
        </w:rPr>
        <w:t>年以上工作经历，指截至报名截止日具有</w:t>
      </w:r>
      <w:r>
        <w:rPr>
          <w:rFonts w:ascii="仿宋_GB2312" w:eastAsia="仿宋_GB2312"/>
          <w:color w:val="auto"/>
          <w:sz w:val="32"/>
          <w:szCs w:val="32"/>
        </w:rPr>
        <w:t>2</w:t>
      </w:r>
      <w:r>
        <w:rPr>
          <w:rFonts w:hint="eastAsia" w:ascii="仿宋_GB2312" w:eastAsia="仿宋_GB2312"/>
          <w:color w:val="auto"/>
          <w:sz w:val="32"/>
          <w:szCs w:val="32"/>
        </w:rPr>
        <w:t>年或</w:t>
      </w:r>
      <w:r>
        <w:rPr>
          <w:rFonts w:ascii="仿宋_GB2312" w:eastAsia="仿宋_GB2312"/>
          <w:color w:val="auto"/>
          <w:sz w:val="32"/>
          <w:szCs w:val="32"/>
        </w:rPr>
        <w:t>2</w:t>
      </w:r>
      <w:r>
        <w:rPr>
          <w:rFonts w:hint="eastAsia" w:ascii="仿宋_GB2312" w:eastAsia="仿宋_GB2312"/>
          <w:color w:val="auto"/>
          <w:sz w:val="32"/>
          <w:szCs w:val="32"/>
        </w:rPr>
        <w:t>年以上工作经历。</w:t>
      </w:r>
    </w:p>
    <w:p w14:paraId="3F03509B">
      <w:pPr>
        <w:spacing w:line="480" w:lineRule="exact"/>
        <w:ind w:firstLine="640" w:firstLineChars="200"/>
        <w:outlineLvl w:val="0"/>
        <w:rPr>
          <w:rFonts w:ascii="黑体" w:hAnsi="黑体" w:eastAsia="黑体"/>
          <w:color w:val="auto"/>
          <w:sz w:val="32"/>
          <w:szCs w:val="32"/>
        </w:rPr>
      </w:pPr>
      <w:bookmarkStart w:id="20" w:name="_Toc4568"/>
      <w:bookmarkStart w:id="21" w:name="_Toc2412"/>
      <w:r>
        <w:rPr>
          <w:rFonts w:hint="eastAsia" w:ascii="黑体" w:hAnsi="黑体" w:eastAsia="黑体"/>
          <w:color w:val="auto"/>
          <w:sz w:val="32"/>
          <w:szCs w:val="32"/>
        </w:rPr>
        <w:t>五、学历（位）认定</w:t>
      </w:r>
      <w:bookmarkEnd w:id="20"/>
      <w:bookmarkEnd w:id="21"/>
    </w:p>
    <w:p w14:paraId="0C29D23A">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岗位资格条件要求的学历</w:t>
      </w:r>
      <w:r>
        <w:rPr>
          <w:rFonts w:ascii="仿宋_GB2312" w:eastAsia="仿宋_GB2312"/>
          <w:color w:val="auto"/>
          <w:sz w:val="32"/>
          <w:szCs w:val="32"/>
        </w:rPr>
        <w:t>(</w:t>
      </w:r>
      <w:r>
        <w:rPr>
          <w:rFonts w:hint="eastAsia" w:ascii="仿宋_GB2312" w:eastAsia="仿宋_GB2312"/>
          <w:color w:val="auto"/>
          <w:sz w:val="32"/>
          <w:szCs w:val="32"/>
        </w:rPr>
        <w:t>位</w:t>
      </w:r>
      <w:r>
        <w:rPr>
          <w:rFonts w:ascii="仿宋_GB2312" w:eastAsia="仿宋_GB2312"/>
          <w:color w:val="auto"/>
          <w:sz w:val="32"/>
          <w:szCs w:val="32"/>
        </w:rPr>
        <w:t>)</w:t>
      </w:r>
      <w:r>
        <w:rPr>
          <w:rFonts w:hint="eastAsia" w:ascii="仿宋_GB2312" w:eastAsia="仿宋_GB2312"/>
          <w:color w:val="auto"/>
          <w:sz w:val="32"/>
          <w:szCs w:val="32"/>
        </w:rPr>
        <w:t>须是国家承认的国民教育毕业学历</w:t>
      </w:r>
      <w:r>
        <w:rPr>
          <w:rFonts w:ascii="仿宋_GB2312" w:eastAsia="仿宋_GB2312"/>
          <w:color w:val="auto"/>
          <w:sz w:val="32"/>
          <w:szCs w:val="32"/>
        </w:rPr>
        <w:t>(</w:t>
      </w:r>
      <w:r>
        <w:rPr>
          <w:rFonts w:hint="eastAsia" w:ascii="仿宋_GB2312" w:eastAsia="仿宋_GB2312"/>
          <w:color w:val="auto"/>
          <w:sz w:val="32"/>
          <w:szCs w:val="32"/>
        </w:rPr>
        <w:t>位</w:t>
      </w:r>
      <w:r>
        <w:rPr>
          <w:rFonts w:ascii="仿宋_GB2312" w:eastAsia="仿宋_GB2312"/>
          <w:color w:val="auto"/>
          <w:sz w:val="32"/>
          <w:szCs w:val="32"/>
        </w:rPr>
        <w:t>)</w:t>
      </w:r>
      <w:r>
        <w:rPr>
          <w:rFonts w:hint="eastAsia" w:ascii="仿宋_GB2312" w:eastAsia="仿宋_GB2312"/>
          <w:color w:val="auto"/>
          <w:sz w:val="32"/>
          <w:szCs w:val="32"/>
        </w:rPr>
        <w:t>。</w:t>
      </w:r>
    </w:p>
    <w:p w14:paraId="53F6E19E">
      <w:pPr>
        <w:spacing w:line="480" w:lineRule="exact"/>
        <w:ind w:left="420"/>
        <w:outlineLvl w:val="1"/>
        <w:rPr>
          <w:rFonts w:ascii="楷体" w:hAnsi="楷体" w:eastAsia="楷体"/>
          <w:b/>
          <w:color w:val="auto"/>
          <w:sz w:val="32"/>
          <w:szCs w:val="32"/>
        </w:rPr>
      </w:pPr>
      <w:bookmarkStart w:id="22" w:name="_Toc3793"/>
      <w:bookmarkStart w:id="23" w:name="_Toc1085"/>
      <w:r>
        <w:rPr>
          <w:rFonts w:hint="eastAsia" w:ascii="楷体" w:hAnsi="楷体" w:eastAsia="楷体"/>
          <w:b/>
          <w:color w:val="auto"/>
          <w:sz w:val="32"/>
          <w:szCs w:val="32"/>
        </w:rPr>
        <w:t>（一）境内学历（位）</w:t>
      </w:r>
      <w:bookmarkEnd w:id="22"/>
      <w:bookmarkEnd w:id="23"/>
    </w:p>
    <w:p w14:paraId="37475A62">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用于报考的学历</w:t>
      </w:r>
      <w:r>
        <w:rPr>
          <w:rFonts w:hint="eastAsia" w:ascii="仿宋_GB2312" w:eastAsia="仿宋_GB2312"/>
          <w:color w:val="auto"/>
          <w:sz w:val="32"/>
          <w:szCs w:val="32"/>
          <w:lang w:eastAsia="zh-CN"/>
        </w:rPr>
        <w:t>（位）</w:t>
      </w:r>
      <w:r>
        <w:rPr>
          <w:rFonts w:hint="eastAsia" w:ascii="仿宋_GB2312" w:eastAsia="仿宋_GB2312"/>
          <w:color w:val="auto"/>
          <w:sz w:val="32"/>
          <w:szCs w:val="32"/>
        </w:rPr>
        <w:t>（含自学考试、成人教育、网络教育、夜大、电大等）应在中国高等教育学生信息网（简称“学信网”，http://www.chsi.com.cn/）上可查询认证。以辅修专业报考的，应同时取得国家承认的列入国民教育序列学历毕业证书，并且辅修专业相应信息可在“学信网”和“学位网”上查询。</w:t>
      </w:r>
    </w:p>
    <w:p w14:paraId="6F5FAD7E">
      <w:pPr>
        <w:spacing w:line="480" w:lineRule="exact"/>
        <w:ind w:firstLine="643" w:firstLineChars="200"/>
        <w:outlineLvl w:val="1"/>
        <w:rPr>
          <w:rFonts w:ascii="楷体" w:hAnsi="楷体" w:eastAsia="楷体"/>
          <w:b/>
          <w:color w:val="auto"/>
          <w:sz w:val="32"/>
          <w:szCs w:val="32"/>
        </w:rPr>
      </w:pPr>
      <w:bookmarkStart w:id="24" w:name="_Toc23979"/>
      <w:bookmarkStart w:id="25" w:name="_Toc15417"/>
      <w:bookmarkStart w:id="26" w:name="_Toc5810"/>
      <w:r>
        <w:rPr>
          <w:rFonts w:hint="eastAsia" w:ascii="楷体" w:hAnsi="楷体" w:eastAsia="楷体"/>
          <w:b/>
          <w:color w:val="auto"/>
          <w:sz w:val="32"/>
          <w:szCs w:val="32"/>
        </w:rPr>
        <w:t>（二）国（境）外学历（位）</w:t>
      </w:r>
      <w:bookmarkEnd w:id="24"/>
      <w:bookmarkEnd w:id="25"/>
      <w:bookmarkEnd w:id="26"/>
    </w:p>
    <w:p w14:paraId="2CE4E6D7">
      <w:pPr>
        <w:spacing w:line="480" w:lineRule="exact"/>
        <w:ind w:firstLine="640" w:firstLineChars="200"/>
        <w:rPr>
          <w:rFonts w:ascii="仿宋_GB2312" w:eastAsia="仿宋_GB2312"/>
          <w:strike/>
          <w:color w:val="auto"/>
          <w:sz w:val="32"/>
          <w:szCs w:val="32"/>
        </w:rPr>
      </w:pPr>
      <w:r>
        <w:rPr>
          <w:rFonts w:hint="eastAsia" w:ascii="仿宋_GB2312" w:eastAsia="仿宋_GB2312"/>
          <w:color w:val="auto"/>
          <w:sz w:val="32"/>
          <w:szCs w:val="32"/>
        </w:rPr>
        <w:t>持国（境）外学历（位）报考的，应提供教育部留学服务中心出具的《国外学历学位认证书》或《香港、澳门特别行政区学历学位认证书》等有关证明材料。</w:t>
      </w:r>
    </w:p>
    <w:p w14:paraId="67959FE4">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属于国内院校与国（境）外院校联合办学取得国（境）外学历学位的，需提供教育部留学服务中心出具的《联合办学学历学位评估意见书》或《联合办学学历学位认证书》。</w:t>
      </w:r>
    </w:p>
    <w:p w14:paraId="6C907279">
      <w:pPr>
        <w:spacing w:line="480" w:lineRule="exact"/>
        <w:ind w:firstLine="643" w:firstLineChars="200"/>
        <w:outlineLvl w:val="1"/>
        <w:rPr>
          <w:rFonts w:ascii="楷体" w:hAnsi="楷体" w:eastAsia="楷体"/>
          <w:b/>
          <w:color w:val="auto"/>
          <w:sz w:val="32"/>
          <w:szCs w:val="32"/>
        </w:rPr>
      </w:pPr>
      <w:bookmarkStart w:id="27" w:name="_Toc19694"/>
      <w:r>
        <w:rPr>
          <w:rFonts w:hint="eastAsia" w:ascii="楷体" w:hAnsi="楷体" w:eastAsia="楷体"/>
          <w:b/>
          <w:color w:val="auto"/>
          <w:sz w:val="32"/>
          <w:szCs w:val="32"/>
        </w:rPr>
        <w:t>（三）我省“双学位”“双专业”学历</w:t>
      </w:r>
      <w:bookmarkEnd w:id="27"/>
    </w:p>
    <w:p w14:paraId="5E0FF05F">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根据《关于在全省高校毕业生中试行“双学位”“双专业”教育的意见》（闽教高〔</w:t>
      </w:r>
      <w:r>
        <w:rPr>
          <w:rFonts w:ascii="仿宋_GB2312" w:eastAsia="仿宋_GB2312"/>
          <w:color w:val="auto"/>
          <w:sz w:val="32"/>
          <w:szCs w:val="32"/>
        </w:rPr>
        <w:t>2009</w:t>
      </w:r>
      <w:r>
        <w:rPr>
          <w:rFonts w:hint="eastAsia" w:ascii="仿宋_GB2312" w:eastAsia="仿宋_GB2312"/>
          <w:color w:val="auto"/>
          <w:sz w:val="32"/>
          <w:szCs w:val="32"/>
        </w:rPr>
        <w:t>〕</w:t>
      </w:r>
      <w:r>
        <w:rPr>
          <w:rFonts w:ascii="仿宋_GB2312" w:eastAsia="仿宋_GB2312"/>
          <w:color w:val="auto"/>
          <w:sz w:val="32"/>
          <w:szCs w:val="32"/>
        </w:rPr>
        <w:t>9</w:t>
      </w:r>
      <w:r>
        <w:rPr>
          <w:rFonts w:hint="eastAsia" w:ascii="仿宋_GB2312" w:eastAsia="仿宋_GB2312"/>
          <w:color w:val="auto"/>
          <w:sz w:val="32"/>
          <w:szCs w:val="32"/>
        </w:rPr>
        <w:t>号），经修读达到毕业条件并获得“双学位”“双专业”证书的报考者，在本省范围内承认其学历、学位。</w:t>
      </w:r>
    </w:p>
    <w:p w14:paraId="78725342">
      <w:pPr>
        <w:spacing w:line="480" w:lineRule="exact"/>
        <w:ind w:firstLine="643" w:firstLineChars="200"/>
        <w:outlineLvl w:val="1"/>
        <w:rPr>
          <w:rFonts w:ascii="楷体" w:hAnsi="楷体" w:eastAsia="楷体"/>
          <w:b/>
          <w:color w:val="auto"/>
          <w:sz w:val="32"/>
          <w:szCs w:val="32"/>
        </w:rPr>
      </w:pPr>
      <w:bookmarkStart w:id="28" w:name="_Toc16603"/>
      <w:r>
        <w:rPr>
          <w:rFonts w:hint="eastAsia" w:ascii="楷体" w:hAnsi="楷体" w:eastAsia="楷体"/>
          <w:b/>
          <w:color w:val="auto"/>
          <w:sz w:val="32"/>
          <w:szCs w:val="32"/>
        </w:rPr>
        <w:t>（四）提醒事项</w:t>
      </w:r>
      <w:bookmarkEnd w:id="28"/>
    </w:p>
    <w:p w14:paraId="682C4FA6">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1.面试资格复核时，招聘单位将对学历（位）进行核查，请考生按照上述要求，提前做好相应认证报告或网上查验准备。</w:t>
      </w:r>
    </w:p>
    <w:p w14:paraId="2E20C19A">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届毕业生和持国（境）外学历（位）者在岗位资格复核时需提交或书面承诺于20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年12月31日前取得并能提供符合岗位报考条件的相应学历(位)证书及其认证材料，否则视为自动放弃考试（聘用）资格。2025年应届毕业生定义参照《福建省2025年度考试录用公务员报考指南》。</w:t>
      </w:r>
    </w:p>
    <w:p w14:paraId="37D55667">
      <w:pPr>
        <w:spacing w:line="480" w:lineRule="exact"/>
        <w:ind w:firstLine="640" w:firstLineChars="200"/>
        <w:outlineLvl w:val="0"/>
        <w:rPr>
          <w:rFonts w:ascii="黑体" w:hAnsi="黑体" w:eastAsia="黑体"/>
          <w:color w:val="auto"/>
          <w:sz w:val="32"/>
          <w:szCs w:val="32"/>
        </w:rPr>
      </w:pPr>
      <w:bookmarkStart w:id="29" w:name="_Toc24676"/>
      <w:bookmarkStart w:id="30" w:name="_Toc1501"/>
      <w:r>
        <w:rPr>
          <w:rFonts w:hint="eastAsia" w:ascii="黑体" w:hAnsi="黑体" w:eastAsia="黑体"/>
          <w:color w:val="auto"/>
          <w:sz w:val="32"/>
          <w:szCs w:val="32"/>
        </w:rPr>
        <w:t>六、专业</w:t>
      </w:r>
      <w:bookmarkEnd w:id="29"/>
      <w:bookmarkEnd w:id="30"/>
    </w:p>
    <w:p w14:paraId="2176C3DD">
      <w:pPr>
        <w:spacing w:line="480" w:lineRule="exact"/>
        <w:ind w:firstLine="640" w:firstLineChars="200"/>
        <w:rPr>
          <w:rFonts w:ascii="仿宋_GB2312" w:eastAsia="仿宋_GB2312"/>
          <w:color w:val="auto"/>
          <w:sz w:val="32"/>
          <w:szCs w:val="32"/>
          <w:bdr w:val="single" w:color="auto" w:sz="4" w:space="0"/>
        </w:rPr>
      </w:pPr>
      <w:r>
        <w:rPr>
          <w:rFonts w:hint="eastAsia" w:ascii="仿宋_GB2312" w:eastAsia="仿宋_GB2312"/>
          <w:color w:val="auto"/>
          <w:sz w:val="32"/>
          <w:szCs w:val="32"/>
        </w:rPr>
        <w:t>本次招考以《福建省机关事业单位招考专业指导目录（20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年）》（文中简称《专业指导目录》）作为岗位专业条件设置和审核的依据。其他来源的专业指导目录不作为本次报考和审核的依据。</w:t>
      </w:r>
    </w:p>
    <w:p w14:paraId="17203838">
      <w:pPr>
        <w:spacing w:line="480" w:lineRule="exact"/>
        <w:ind w:firstLine="643" w:firstLineChars="200"/>
        <w:outlineLvl w:val="1"/>
        <w:rPr>
          <w:rFonts w:ascii="楷体" w:hAnsi="楷体" w:eastAsia="楷体"/>
          <w:b/>
          <w:color w:val="auto"/>
          <w:sz w:val="32"/>
          <w:szCs w:val="32"/>
        </w:rPr>
      </w:pPr>
      <w:bookmarkStart w:id="31" w:name="_Toc23150"/>
      <w:bookmarkStart w:id="32" w:name="_Toc3721"/>
      <w:r>
        <w:rPr>
          <w:rFonts w:hint="eastAsia" w:ascii="楷体" w:hAnsi="楷体" w:eastAsia="楷体"/>
          <w:b/>
          <w:color w:val="auto"/>
          <w:sz w:val="32"/>
          <w:szCs w:val="32"/>
        </w:rPr>
        <w:t>（一）填报专业名称</w:t>
      </w:r>
      <w:bookmarkEnd w:id="31"/>
      <w:bookmarkEnd w:id="32"/>
    </w:p>
    <w:p w14:paraId="376D27D4">
      <w:pPr>
        <w:spacing w:line="480" w:lineRule="exact"/>
        <w:ind w:firstLine="640" w:firstLineChars="200"/>
        <w:rPr>
          <w:rFonts w:ascii="仿宋_GB2312" w:eastAsia="仿宋_GB2312"/>
          <w:color w:val="auto"/>
          <w:sz w:val="32"/>
          <w:szCs w:val="32"/>
          <w:bdr w:val="single" w:color="auto" w:sz="4" w:space="0"/>
        </w:rPr>
      </w:pPr>
      <w:r>
        <w:rPr>
          <w:rFonts w:hint="eastAsia" w:ascii="仿宋_GB2312" w:eastAsia="仿宋_GB2312"/>
          <w:color w:val="auto"/>
          <w:sz w:val="32"/>
          <w:szCs w:val="32"/>
        </w:rPr>
        <w:t>报考者应严格按照所持证书（认证报告）上内容</w:t>
      </w:r>
      <w:r>
        <w:rPr>
          <w:rFonts w:hint="eastAsia" w:ascii="仿宋_GB2312" w:eastAsia="仿宋_GB2312"/>
          <w:b/>
          <w:color w:val="auto"/>
          <w:sz w:val="32"/>
          <w:szCs w:val="32"/>
          <w:u w:val="single"/>
        </w:rPr>
        <w:t>只字不差</w:t>
      </w:r>
      <w:r>
        <w:rPr>
          <w:rFonts w:hint="eastAsia" w:ascii="仿宋_GB2312" w:eastAsia="仿宋_GB2312"/>
          <w:color w:val="auto"/>
          <w:sz w:val="32"/>
          <w:szCs w:val="32"/>
        </w:rPr>
        <w:t>、如实填写所学专业。其中，全日制普通教育学历所学专业以毕业证书为准，非全日制普通教育和境外学历（位）以教育部学历（位）认证部门出具的认证报告为准。</w:t>
      </w:r>
    </w:p>
    <w:p w14:paraId="3CFB0E7E">
      <w:pPr>
        <w:spacing w:line="480" w:lineRule="exact"/>
        <w:ind w:firstLine="643" w:firstLineChars="200"/>
        <w:outlineLvl w:val="1"/>
        <w:rPr>
          <w:rFonts w:ascii="楷体" w:hAnsi="楷体" w:eastAsia="楷体"/>
          <w:b/>
          <w:color w:val="auto"/>
          <w:sz w:val="32"/>
          <w:szCs w:val="32"/>
        </w:rPr>
      </w:pPr>
      <w:bookmarkStart w:id="33" w:name="_Toc8651"/>
      <w:bookmarkStart w:id="34" w:name="_Toc30064"/>
      <w:r>
        <w:rPr>
          <w:rFonts w:hint="eastAsia" w:ascii="楷体" w:hAnsi="楷体" w:eastAsia="楷体"/>
          <w:b/>
          <w:color w:val="auto"/>
          <w:sz w:val="32"/>
          <w:szCs w:val="32"/>
        </w:rPr>
        <w:t>（二）专业与学历（位）的对应关系</w:t>
      </w:r>
      <w:bookmarkEnd w:id="33"/>
      <w:bookmarkEnd w:id="34"/>
    </w:p>
    <w:p w14:paraId="130D6057">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 </w:t>
      </w:r>
    </w:p>
    <w:p w14:paraId="06C6A9A1">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例如，岗位要求本科学历、学士学位、工商管理专业。</w:t>
      </w:r>
    </w:p>
    <w:p w14:paraId="2BD73ACE">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考生A：取得英语专业本科学历、学士学位，后读取工商管理专业硕士学位（单证，无学历），该考生可报考该岗位。</w:t>
      </w:r>
    </w:p>
    <w:p w14:paraId="054B82C3">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考生B：取得英语专业本科学历、学士学位，后攻读工商管理专业硕士研究生（仅取得研究生学历未获硕士学位），该考生可报考该岗位。</w:t>
      </w:r>
    </w:p>
    <w:p w14:paraId="15DE1BDA">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考生C：取得英语专业本科学历、学士学位，辅修工商管理专业取得学士学位，该考生可报考该岗位。</w:t>
      </w:r>
    </w:p>
    <w:p w14:paraId="260A17FE">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考生D：取得英语专业本科学历、学士学位，函授工商管理专业取得本科学历，该考生可报考该岗位。</w:t>
      </w:r>
    </w:p>
    <w:p w14:paraId="7BC6B136">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考生E：取得工商管理专业大专学历，专升本取得英语专业本科学历、学士学位，该考生不能报考该岗位。</w:t>
      </w:r>
    </w:p>
    <w:p w14:paraId="07AD1834">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考生F：取得英语专业本科学历（未取得学士学位），取得工商管理专业硕士学位（无学历），该考生可报考该岗位。</w:t>
      </w:r>
    </w:p>
    <w:p w14:paraId="661C573A">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考生G：取得英语专业本科学历、学士学位，工商管理专业肄业，该考生不能报考该岗位。</w:t>
      </w:r>
    </w:p>
    <w:p w14:paraId="23AB935F">
      <w:pPr>
        <w:spacing w:line="480" w:lineRule="exact"/>
        <w:ind w:firstLine="643" w:firstLineChars="200"/>
        <w:outlineLvl w:val="1"/>
        <w:rPr>
          <w:rFonts w:ascii="楷体" w:hAnsi="楷体" w:eastAsia="楷体"/>
          <w:b/>
          <w:color w:val="auto"/>
          <w:sz w:val="32"/>
          <w:szCs w:val="32"/>
        </w:rPr>
      </w:pPr>
      <w:bookmarkStart w:id="35" w:name="_Toc7542"/>
      <w:bookmarkStart w:id="36" w:name="_Toc805"/>
      <w:r>
        <w:rPr>
          <w:rFonts w:hint="eastAsia" w:ascii="楷体" w:hAnsi="楷体" w:eastAsia="楷体"/>
          <w:b/>
          <w:color w:val="auto"/>
          <w:sz w:val="32"/>
          <w:szCs w:val="32"/>
        </w:rPr>
        <w:t>（三）专业资格的认定</w:t>
      </w:r>
      <w:bookmarkEnd w:id="35"/>
      <w:bookmarkEnd w:id="36"/>
    </w:p>
    <w:p w14:paraId="48ACEF9D">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将专业条件设置为“××类”的招聘岗位，报考者所学专业须符合《专业指导目录》中“××类”下所列专业；将专业条件设置为具体专业名称的，报考者所学专业须符合所列专业。</w:t>
      </w:r>
    </w:p>
    <w:p w14:paraId="7E7A6968">
      <w:pPr>
        <w:widowControl/>
        <w:spacing w:line="480" w:lineRule="exact"/>
        <w:ind w:firstLine="645"/>
        <w:jc w:val="left"/>
        <w:rPr>
          <w:rFonts w:ascii="仿宋_GB2312" w:eastAsia="仿宋_GB2312"/>
          <w:color w:val="auto"/>
          <w:sz w:val="32"/>
          <w:szCs w:val="32"/>
        </w:rPr>
      </w:pPr>
      <w:r>
        <w:rPr>
          <w:rFonts w:hint="eastAsia" w:ascii="仿宋_GB2312" w:eastAsia="仿宋_GB2312"/>
          <w:color w:val="auto"/>
          <w:sz w:val="32"/>
          <w:szCs w:val="32"/>
        </w:rPr>
        <w:t>专业要求“临床医学”专业的，含“临床医学”或“临床医学硕士”或“临床医学博士”，</w:t>
      </w:r>
      <w:r>
        <w:rPr>
          <w:rFonts w:hint="eastAsia" w:ascii="仿宋_GB2312" w:hAnsi="宋体" w:eastAsia="仿宋_GB2312" w:cs="宋体"/>
          <w:color w:val="auto"/>
          <w:sz w:val="32"/>
          <w:szCs w:val="32"/>
        </w:rPr>
        <w:t>其他专业以此类推</w:t>
      </w:r>
      <w:r>
        <w:rPr>
          <w:rFonts w:hint="eastAsia" w:ascii="仿宋_GB2312" w:eastAsia="仿宋_GB2312"/>
          <w:color w:val="auto"/>
          <w:sz w:val="32"/>
          <w:szCs w:val="32"/>
        </w:rPr>
        <w:t>。</w:t>
      </w:r>
    </w:p>
    <w:p w14:paraId="5A982A35">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14:paraId="19FD9D72">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经与招聘单位沟通，若报考者对专业资格审查结果仍有异议的，可在规定期限内及时通过“报名系统”的申诉通道提出申诉。</w:t>
      </w:r>
    </w:p>
    <w:p w14:paraId="08A3D6DD">
      <w:pPr>
        <w:spacing w:line="480" w:lineRule="exact"/>
        <w:ind w:firstLine="640" w:firstLineChars="200"/>
        <w:outlineLvl w:val="0"/>
        <w:rPr>
          <w:rFonts w:ascii="黑体" w:hAnsi="黑体" w:eastAsia="黑体"/>
          <w:color w:val="auto"/>
          <w:sz w:val="32"/>
          <w:szCs w:val="32"/>
        </w:rPr>
      </w:pPr>
      <w:bookmarkStart w:id="37" w:name="_Toc28962"/>
      <w:bookmarkStart w:id="38" w:name="_Toc12468"/>
      <w:r>
        <w:rPr>
          <w:rFonts w:hint="eastAsia" w:ascii="黑体" w:hAnsi="黑体" w:eastAsia="黑体"/>
          <w:color w:val="auto"/>
          <w:sz w:val="32"/>
          <w:szCs w:val="32"/>
        </w:rPr>
        <w:t>七、工作经历（验）</w:t>
      </w:r>
      <w:bookmarkEnd w:id="37"/>
      <w:bookmarkEnd w:id="38"/>
    </w:p>
    <w:p w14:paraId="0DE23778">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岗位资格条件要求“具有2年</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rPr>
        <w:t>以上二级及以上医院</w:t>
      </w:r>
      <w:r>
        <w:rPr>
          <w:rFonts w:hint="eastAsia" w:ascii="仿宋_GB2312" w:eastAsia="仿宋_GB2312"/>
          <w:color w:val="auto"/>
          <w:sz w:val="32"/>
          <w:szCs w:val="32"/>
          <w:lang w:eastAsia="zh-CN"/>
        </w:rPr>
        <w:t>某</w:t>
      </w:r>
      <w:r>
        <w:rPr>
          <w:rFonts w:hint="eastAsia" w:ascii="仿宋_GB2312" w:eastAsia="仿宋_GB2312"/>
          <w:color w:val="auto"/>
          <w:sz w:val="32"/>
          <w:szCs w:val="32"/>
        </w:rPr>
        <w:t>科临床工作经验”</w:t>
      </w:r>
      <w:r>
        <w:rPr>
          <w:rFonts w:hint="eastAsia" w:ascii="仿宋_GB2312" w:eastAsia="仿宋_GB2312"/>
          <w:color w:val="auto"/>
          <w:sz w:val="32"/>
          <w:szCs w:val="32"/>
          <w:lang w:eastAsia="zh-CN"/>
        </w:rPr>
        <w:t>等要求</w:t>
      </w:r>
      <w:r>
        <w:rPr>
          <w:rFonts w:hint="eastAsia" w:ascii="仿宋_GB2312" w:eastAsia="仿宋_GB2312"/>
          <w:color w:val="auto"/>
          <w:sz w:val="32"/>
          <w:szCs w:val="32"/>
        </w:rPr>
        <w:t>的，应聘人员须提供</w:t>
      </w:r>
      <w:r>
        <w:rPr>
          <w:rFonts w:hint="eastAsia" w:ascii="仿宋" w:hAnsi="仿宋" w:eastAsia="仿宋" w:cs="仿宋"/>
          <w:color w:val="auto"/>
          <w:sz w:val="32"/>
          <w:szCs w:val="32"/>
        </w:rPr>
        <w:t>在</w:t>
      </w:r>
      <w:r>
        <w:rPr>
          <w:rFonts w:hint="eastAsia" w:ascii="仿宋_GB2312" w:eastAsia="仿宋_GB2312"/>
          <w:color w:val="auto"/>
          <w:sz w:val="32"/>
          <w:szCs w:val="32"/>
        </w:rPr>
        <w:t>二级及以上医院从事</w:t>
      </w:r>
      <w:r>
        <w:rPr>
          <w:rFonts w:hint="eastAsia" w:ascii="仿宋_GB2312" w:eastAsia="仿宋_GB2312"/>
          <w:color w:val="auto"/>
          <w:sz w:val="32"/>
          <w:szCs w:val="32"/>
          <w:lang w:eastAsia="zh-CN"/>
        </w:rPr>
        <w:t>某科</w:t>
      </w:r>
      <w:r>
        <w:rPr>
          <w:rFonts w:hint="eastAsia" w:ascii="仿宋_GB2312" w:eastAsia="仿宋_GB2312"/>
          <w:color w:val="auto"/>
          <w:sz w:val="32"/>
          <w:szCs w:val="32"/>
        </w:rPr>
        <w:t>工作的养老保险缴费凭证、聘用</w:t>
      </w:r>
      <w:r>
        <w:rPr>
          <w:rFonts w:ascii="仿宋_GB2312" w:eastAsia="仿宋_GB2312"/>
          <w:color w:val="auto"/>
          <w:sz w:val="32"/>
          <w:szCs w:val="32"/>
        </w:rPr>
        <w:t>(</w:t>
      </w:r>
      <w:r>
        <w:rPr>
          <w:rFonts w:hint="eastAsia" w:ascii="仿宋_GB2312" w:eastAsia="仿宋_GB2312"/>
          <w:color w:val="auto"/>
          <w:sz w:val="32"/>
          <w:szCs w:val="32"/>
        </w:rPr>
        <w:t>劳动</w:t>
      </w:r>
      <w:r>
        <w:rPr>
          <w:rFonts w:ascii="仿宋_GB2312" w:eastAsia="仿宋_GB2312"/>
          <w:color w:val="auto"/>
          <w:sz w:val="32"/>
          <w:szCs w:val="32"/>
        </w:rPr>
        <w:t>)</w:t>
      </w:r>
      <w:r>
        <w:rPr>
          <w:rFonts w:hint="eastAsia" w:ascii="仿宋_GB2312" w:eastAsia="仿宋_GB2312"/>
          <w:color w:val="auto"/>
          <w:sz w:val="32"/>
          <w:szCs w:val="32"/>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14:paraId="1FB4A5F3">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全日制普通教育期间的社会实践或实习经历</w:t>
      </w:r>
      <w:r>
        <w:rPr>
          <w:rFonts w:ascii="仿宋_GB2312" w:eastAsia="仿宋_GB2312"/>
          <w:color w:val="auto"/>
          <w:sz w:val="32"/>
          <w:szCs w:val="32"/>
        </w:rPr>
        <w:t>(</w:t>
      </w:r>
      <w:r>
        <w:rPr>
          <w:rFonts w:hint="eastAsia" w:ascii="仿宋_GB2312" w:eastAsia="仿宋_GB2312"/>
          <w:color w:val="auto"/>
          <w:sz w:val="32"/>
          <w:szCs w:val="32"/>
        </w:rPr>
        <w:t>含培训、兼职工作等</w:t>
      </w:r>
      <w:r>
        <w:rPr>
          <w:rFonts w:ascii="仿宋_GB2312" w:eastAsia="仿宋_GB2312"/>
          <w:color w:val="auto"/>
          <w:sz w:val="32"/>
          <w:szCs w:val="32"/>
        </w:rPr>
        <w:t>)</w:t>
      </w:r>
      <w:r>
        <w:rPr>
          <w:rFonts w:hint="eastAsia" w:ascii="仿宋_GB2312" w:eastAsia="仿宋_GB2312"/>
          <w:color w:val="auto"/>
          <w:sz w:val="32"/>
          <w:szCs w:val="32"/>
        </w:rPr>
        <w:t>，不能视为工作经验。</w:t>
      </w:r>
    </w:p>
    <w:p w14:paraId="0AE276D6">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岗位资格条件要求的工作经历（验）年限可以分段按月合并计算。不同单位的相同（似）工作经历（验）证明可分别开具，累计计算。</w:t>
      </w:r>
    </w:p>
    <w:p w14:paraId="6DD30923">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例：岗位要求有2年工作经历，张三工作经历如下：</w:t>
      </w:r>
      <w:r>
        <w:rPr>
          <w:rFonts w:hint="eastAsia" w:ascii="仿宋_GB2312" w:eastAsia="仿宋_GB2312"/>
          <w:color w:val="auto"/>
          <w:sz w:val="32"/>
          <w:szCs w:val="32"/>
        </w:rPr>
        <w:br w:type="textWrapping"/>
      </w:r>
      <w:r>
        <w:rPr>
          <w:rFonts w:hint="eastAsia" w:ascii="仿宋_GB2312" w:eastAsia="仿宋_GB2312"/>
          <w:color w:val="auto"/>
          <w:sz w:val="32"/>
          <w:szCs w:val="32"/>
        </w:rPr>
        <w:t xml:space="preserve">        2018.8.7-2019.8.23在A单位上班 (13个月）</w:t>
      </w:r>
      <w:r>
        <w:rPr>
          <w:rFonts w:hint="eastAsia" w:ascii="仿宋_GB2312" w:eastAsia="仿宋_GB2312"/>
          <w:color w:val="auto"/>
          <w:sz w:val="32"/>
          <w:szCs w:val="32"/>
        </w:rPr>
        <w:br w:type="textWrapping"/>
      </w:r>
      <w:r>
        <w:rPr>
          <w:rFonts w:hint="eastAsia" w:ascii="仿宋_GB2312" w:eastAsia="仿宋_GB2312"/>
          <w:color w:val="auto"/>
          <w:sz w:val="32"/>
          <w:szCs w:val="32"/>
        </w:rPr>
        <w:t xml:space="preserve">        2019.10.8-2020.8.17在B单位上班(11个月）</w:t>
      </w:r>
      <w:r>
        <w:rPr>
          <w:rFonts w:hint="eastAsia" w:ascii="仿宋_GB2312" w:eastAsia="仿宋_GB2312"/>
          <w:color w:val="auto"/>
          <w:sz w:val="32"/>
          <w:szCs w:val="32"/>
        </w:rPr>
        <w:br w:type="textWrapping"/>
      </w:r>
      <w:r>
        <w:rPr>
          <w:rFonts w:hint="eastAsia" w:ascii="仿宋_GB2312" w:eastAsia="仿宋_GB2312"/>
          <w:color w:val="auto"/>
          <w:sz w:val="32"/>
          <w:szCs w:val="32"/>
        </w:rPr>
        <w:t xml:space="preserve">        累计24个月，满足2年工作经历。</w:t>
      </w:r>
    </w:p>
    <w:p w14:paraId="570ABDAB">
      <w:pPr>
        <w:spacing w:line="480" w:lineRule="exact"/>
        <w:ind w:firstLine="640" w:firstLineChars="200"/>
        <w:outlineLvl w:val="0"/>
        <w:rPr>
          <w:rFonts w:ascii="黑体" w:hAnsi="黑体" w:eastAsia="黑体" w:cs="黑体"/>
          <w:color w:val="auto"/>
          <w:sz w:val="32"/>
          <w:szCs w:val="32"/>
        </w:rPr>
      </w:pPr>
      <w:bookmarkStart w:id="39" w:name="_Toc6132"/>
      <w:bookmarkStart w:id="40" w:name="_Toc12732"/>
      <w:bookmarkStart w:id="41" w:name="_Toc1727"/>
      <w:r>
        <w:rPr>
          <w:rFonts w:hint="eastAsia" w:ascii="黑体" w:hAnsi="黑体" w:eastAsia="黑体" w:cs="黑体"/>
          <w:color w:val="auto"/>
          <w:sz w:val="32"/>
          <w:szCs w:val="32"/>
        </w:rPr>
        <w:t>八、可免笔试情形</w:t>
      </w:r>
      <w:bookmarkEnd w:id="39"/>
      <w:bookmarkEnd w:id="40"/>
      <w:bookmarkEnd w:id="41"/>
    </w:p>
    <w:p w14:paraId="11B30007">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招聘岗位要求研究生学历或硕士以上学位或副高以上职称的，招聘组织单位可根据实际情况，准许具有与招聘岗位专业要求相一致的研究生学历或硕士以上学位（含应届毕业生）或副高以上专业技术职务任职资格的应聘人员免笔试直接参加面试，但当岗位符合条件的报名人数（指通过网上报名资格审核的人数，下同）与拟聘用人数比例超过5:1（不含5:1）时，所有报考人员均须参加笔试。</w:t>
      </w:r>
    </w:p>
    <w:p w14:paraId="239097AA">
      <w:pPr>
        <w:spacing w:line="480" w:lineRule="exact"/>
        <w:ind w:firstLine="640" w:firstLineChars="200"/>
        <w:rPr>
          <w:rFonts w:ascii="仿宋_GB2312" w:eastAsia="仿宋_GB2312"/>
          <w:color w:val="auto"/>
          <w:sz w:val="32"/>
          <w:szCs w:val="32"/>
        </w:rPr>
      </w:pPr>
      <w:r>
        <w:rPr>
          <w:rFonts w:ascii="仿宋_GB2312" w:eastAsia="仿宋_GB2312"/>
          <w:color w:val="auto"/>
          <w:sz w:val="32"/>
          <w:szCs w:val="32"/>
        </w:rPr>
        <w:t>免笔试岗位由招聘单位及其主管部门于报名结束后，根据具体情况及时提出</w:t>
      </w:r>
      <w:r>
        <w:rPr>
          <w:rFonts w:hint="eastAsia" w:ascii="仿宋_GB2312" w:eastAsia="仿宋_GB2312"/>
          <w:color w:val="auto"/>
          <w:sz w:val="32"/>
          <w:szCs w:val="32"/>
        </w:rPr>
        <w:t>,报区人社局研究同意并报备厦门市人力资源和社会保障局</w:t>
      </w:r>
      <w:r>
        <w:rPr>
          <w:rFonts w:ascii="仿宋_GB2312" w:eastAsia="仿宋_GB2312"/>
          <w:color w:val="auto"/>
          <w:sz w:val="32"/>
          <w:szCs w:val="32"/>
        </w:rPr>
        <w:t>后统一公布。</w:t>
      </w:r>
    </w:p>
    <w:p w14:paraId="6CA625E8">
      <w:pPr>
        <w:spacing w:line="480" w:lineRule="exact"/>
        <w:ind w:firstLine="640" w:firstLineChars="200"/>
        <w:outlineLvl w:val="0"/>
        <w:rPr>
          <w:rFonts w:ascii="黑体" w:hAnsi="黑体" w:eastAsia="黑体"/>
          <w:color w:val="auto"/>
          <w:sz w:val="32"/>
          <w:szCs w:val="32"/>
        </w:rPr>
      </w:pPr>
      <w:bookmarkStart w:id="42" w:name="_Toc10319"/>
      <w:bookmarkStart w:id="43" w:name="_Toc9757"/>
      <w:bookmarkStart w:id="44" w:name="_Toc50132334"/>
      <w:r>
        <w:rPr>
          <w:rFonts w:hint="eastAsia" w:ascii="黑体" w:hAnsi="黑体" w:eastAsia="黑体"/>
          <w:color w:val="auto"/>
          <w:sz w:val="32"/>
          <w:szCs w:val="32"/>
        </w:rPr>
        <w:t>九、岗位开考比例</w:t>
      </w:r>
      <w:bookmarkEnd w:id="42"/>
      <w:bookmarkEnd w:id="43"/>
    </w:p>
    <w:bookmarkEnd w:id="44"/>
    <w:p w14:paraId="291B455C">
      <w:pPr>
        <w:spacing w:line="48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符合岗位资格条件的报名人数（指通过网上报名资格初审的人数）与岗位拟聘人数比例达不到</w:t>
      </w:r>
      <w:r>
        <w:rPr>
          <w:rFonts w:ascii="仿宋_GB2312" w:eastAsia="仿宋_GB2312"/>
          <w:color w:val="auto"/>
          <w:sz w:val="32"/>
          <w:szCs w:val="32"/>
        </w:rPr>
        <w:t>3:1</w:t>
      </w:r>
      <w:r>
        <w:rPr>
          <w:rFonts w:hint="eastAsia" w:ascii="仿宋_GB2312" w:eastAsia="仿宋_GB2312"/>
          <w:color w:val="auto"/>
          <w:sz w:val="32"/>
          <w:szCs w:val="32"/>
        </w:rPr>
        <w:t>的，原则上取消开考或相应减少招聘人数。</w:t>
      </w:r>
    </w:p>
    <w:p w14:paraId="391844FB">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要求可免笔试、取消开考、减少招聘人数的岗位，由招聘单位及其主管部门于报名结束后提出意见，报区人社局研究同意并报备厦门市人力资源和社会保障局。情况特殊确需降低比例开考的岗位，报厦门市人力资源和社会保障局批准。上述岗位开考情况</w:t>
      </w:r>
      <w:r>
        <w:rPr>
          <w:rFonts w:hint="default" w:ascii="Times New Roman" w:hAnsi="Times New Roman" w:eastAsia="仿宋_GB2312" w:cs="Times New Roman"/>
          <w:color w:val="auto"/>
          <w:sz w:val="32"/>
          <w:szCs w:val="32"/>
        </w:rPr>
        <w:t>在考务信息通知平台另行公告</w:t>
      </w:r>
      <w:r>
        <w:rPr>
          <w:rFonts w:hint="eastAsia" w:ascii="仿宋_GB2312" w:eastAsia="仿宋_GB2312"/>
          <w:color w:val="auto"/>
          <w:sz w:val="32"/>
          <w:szCs w:val="32"/>
        </w:rPr>
        <w:t>。</w:t>
      </w:r>
    </w:p>
    <w:p w14:paraId="671FB11D">
      <w:pPr>
        <w:spacing w:line="480" w:lineRule="exact"/>
        <w:ind w:firstLine="640" w:firstLineChars="200"/>
        <w:outlineLvl w:val="0"/>
        <w:rPr>
          <w:rFonts w:ascii="黑体" w:hAnsi="黑体" w:eastAsia="黑体"/>
          <w:color w:val="auto"/>
          <w:sz w:val="32"/>
          <w:szCs w:val="32"/>
        </w:rPr>
      </w:pPr>
      <w:bookmarkStart w:id="45" w:name="_Toc27278"/>
      <w:bookmarkStart w:id="46" w:name="_Toc6597"/>
      <w:r>
        <w:rPr>
          <w:rFonts w:hint="eastAsia" w:ascii="黑体" w:hAnsi="黑体" w:eastAsia="黑体"/>
          <w:color w:val="auto"/>
          <w:sz w:val="32"/>
          <w:szCs w:val="32"/>
        </w:rPr>
        <w:t>十、笔试加分</w:t>
      </w:r>
      <w:bookmarkEnd w:id="45"/>
      <w:bookmarkEnd w:id="46"/>
    </w:p>
    <w:p w14:paraId="040B32A7">
      <w:pPr>
        <w:spacing w:line="480" w:lineRule="exact"/>
        <w:ind w:firstLine="643" w:firstLineChars="200"/>
        <w:outlineLvl w:val="1"/>
        <w:rPr>
          <w:rFonts w:ascii="楷体" w:hAnsi="楷体" w:eastAsia="楷体" w:cs="楷体"/>
          <w:b/>
          <w:bCs/>
          <w:color w:val="auto"/>
          <w:sz w:val="32"/>
          <w:szCs w:val="32"/>
        </w:rPr>
      </w:pPr>
      <w:bookmarkStart w:id="47" w:name="_Toc16194"/>
      <w:bookmarkStart w:id="48" w:name="_Toc15515"/>
      <w:bookmarkStart w:id="49" w:name="_Toc11275"/>
      <w:bookmarkStart w:id="50" w:name="_Toc50132339"/>
      <w:bookmarkStart w:id="51" w:name="_Toc15632"/>
      <w:bookmarkStart w:id="52" w:name="_Toc17898"/>
      <w:bookmarkStart w:id="53" w:name="_Toc13976"/>
      <w:bookmarkStart w:id="54" w:name="_Toc10848"/>
      <w:bookmarkStart w:id="55" w:name="_Toc9098"/>
      <w:r>
        <w:rPr>
          <w:rFonts w:hint="eastAsia" w:ascii="楷体" w:hAnsi="楷体" w:eastAsia="楷体" w:cs="楷体"/>
          <w:b/>
          <w:bCs/>
          <w:color w:val="auto"/>
          <w:sz w:val="32"/>
          <w:szCs w:val="32"/>
        </w:rPr>
        <w:t>（一）加分原则</w:t>
      </w:r>
      <w:bookmarkEnd w:id="47"/>
      <w:bookmarkEnd w:id="48"/>
      <w:bookmarkEnd w:id="49"/>
    </w:p>
    <w:p w14:paraId="1B857082">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笔试成绩=笔试卷面分+各项加分。</w:t>
      </w:r>
    </w:p>
    <w:p w14:paraId="6A40546C">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加分仅限于笔试卷面分，免笔试人员在面试环节不享受加分。加分不受笔试满分限制。</w:t>
      </w:r>
      <w:r>
        <w:rPr>
          <w:rFonts w:hint="eastAsia" w:ascii="仿宋_GB2312" w:eastAsia="仿宋_GB2312"/>
          <w:b/>
          <w:bCs/>
          <w:color w:val="auto"/>
          <w:sz w:val="32"/>
          <w:szCs w:val="32"/>
        </w:rPr>
        <w:t>各项加分可累计计算，但累计最高不超过10分。</w:t>
      </w:r>
      <w:r>
        <w:rPr>
          <w:rFonts w:hint="default" w:ascii="Times New Roman" w:hAnsi="Times New Roman" w:eastAsia="仿宋_GB2312" w:cs="Times New Roman"/>
          <w:color w:val="auto"/>
          <w:sz w:val="32"/>
          <w:szCs w:val="32"/>
        </w:rPr>
        <w:t>曾通过享受政策待遇被录（聘）为公务员或事业单位编内工作人员的，不再享受报考事业单位加分和专门岗位招考优惠政策。</w:t>
      </w:r>
    </w:p>
    <w:p w14:paraId="30A5DC4B">
      <w:pPr>
        <w:spacing w:line="480" w:lineRule="exact"/>
        <w:ind w:firstLine="643" w:firstLineChars="200"/>
        <w:outlineLvl w:val="1"/>
        <w:rPr>
          <w:rFonts w:ascii="楷体" w:hAnsi="楷体" w:eastAsia="楷体" w:cs="楷体"/>
          <w:b/>
          <w:bCs/>
          <w:color w:val="auto"/>
          <w:sz w:val="32"/>
          <w:szCs w:val="32"/>
        </w:rPr>
      </w:pPr>
      <w:bookmarkStart w:id="56" w:name="_Toc11331"/>
      <w:bookmarkStart w:id="57" w:name="_Toc6101"/>
      <w:bookmarkStart w:id="58" w:name="_Toc13528"/>
      <w:r>
        <w:rPr>
          <w:rFonts w:hint="eastAsia" w:ascii="楷体" w:hAnsi="楷体" w:eastAsia="楷体" w:cs="楷体"/>
          <w:b/>
          <w:bCs/>
          <w:color w:val="auto"/>
          <w:sz w:val="32"/>
          <w:szCs w:val="32"/>
        </w:rPr>
        <w:t>（二）加分对象</w:t>
      </w:r>
      <w:bookmarkEnd w:id="56"/>
      <w:bookmarkEnd w:id="57"/>
      <w:bookmarkEnd w:id="58"/>
    </w:p>
    <w:p w14:paraId="6A64D6B1">
      <w:pPr>
        <w:spacing w:line="480" w:lineRule="exact"/>
        <w:ind w:firstLine="640" w:firstLineChars="200"/>
        <w:rPr>
          <w:rFonts w:ascii="仿宋_GB2312" w:eastAsia="仿宋_GB2312"/>
          <w:strike/>
          <w:color w:val="auto"/>
          <w:sz w:val="32"/>
          <w:szCs w:val="32"/>
        </w:rPr>
      </w:pPr>
      <w:r>
        <w:rPr>
          <w:rFonts w:hint="eastAsia" w:ascii="仿宋_GB2312" w:eastAsia="仿宋_GB2312"/>
          <w:color w:val="auto"/>
          <w:sz w:val="32"/>
          <w:szCs w:val="32"/>
        </w:rPr>
        <w:t>经报名资格审核通过并符合以下加分政策的报考人员可享受笔试加分待遇：</w:t>
      </w:r>
    </w:p>
    <w:bookmarkEnd w:id="50"/>
    <w:bookmarkEnd w:id="51"/>
    <w:bookmarkEnd w:id="52"/>
    <w:bookmarkEnd w:id="53"/>
    <w:bookmarkEnd w:id="54"/>
    <w:bookmarkEnd w:id="55"/>
    <w:p w14:paraId="272C044C">
      <w:pPr>
        <w:spacing w:line="480" w:lineRule="exact"/>
        <w:ind w:firstLine="643" w:firstLineChars="200"/>
        <w:outlineLvl w:val="2"/>
        <w:rPr>
          <w:rFonts w:ascii="仿宋_GB2312" w:hAnsi="仿宋_GB2312" w:eastAsia="仿宋_GB2312" w:cs="仿宋_GB2312"/>
          <w:b/>
          <w:bCs/>
          <w:color w:val="auto"/>
          <w:sz w:val="32"/>
          <w:szCs w:val="32"/>
        </w:rPr>
      </w:pPr>
      <w:bookmarkStart w:id="59" w:name="_Toc28066"/>
      <w:bookmarkStart w:id="60" w:name="_Toc25371"/>
      <w:bookmarkStart w:id="61" w:name="_Toc26336"/>
      <w:bookmarkStart w:id="62" w:name="_Toc30306"/>
      <w:r>
        <w:rPr>
          <w:rFonts w:hint="eastAsia" w:ascii="仿宋_GB2312" w:hAnsi="仿宋_GB2312" w:eastAsia="仿宋_GB2312" w:cs="仿宋_GB2312"/>
          <w:b/>
          <w:bCs/>
          <w:color w:val="auto"/>
          <w:sz w:val="32"/>
          <w:szCs w:val="32"/>
        </w:rPr>
        <w:t>1.服务基层项目高校毕业人员</w:t>
      </w:r>
      <w:bookmarkEnd w:id="59"/>
      <w:bookmarkEnd w:id="60"/>
      <w:bookmarkEnd w:id="61"/>
    </w:p>
    <w:p w14:paraId="6DB0C3B8">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参加国家和福建省组织实施的“三支一扶”计划、“志愿服务西部计划”（含研究生支教团）、“志愿服务欠发达地区计划”和“服务社区计划”等，服务期限为1年及以上且于202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 xml:space="preserve">年12月31日前期满考核合格的福建户籍或福建生源高校毕业人员：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14:paraId="417A3854">
      <w:pPr>
        <w:spacing w:line="480" w:lineRule="exact"/>
        <w:ind w:firstLine="643" w:firstLineChars="200"/>
        <w:outlineLvl w:val="2"/>
        <w:rPr>
          <w:rFonts w:ascii="仿宋_GB2312" w:hAnsi="仿宋_GB2312" w:eastAsia="仿宋_GB2312" w:cs="仿宋_GB2312"/>
          <w:b/>
          <w:bCs/>
          <w:color w:val="auto"/>
          <w:sz w:val="32"/>
          <w:szCs w:val="32"/>
        </w:rPr>
      </w:pPr>
      <w:bookmarkStart w:id="63" w:name="_Toc24980"/>
      <w:bookmarkStart w:id="64" w:name="_Toc2457"/>
      <w:bookmarkStart w:id="65" w:name="_Toc3463"/>
      <w:bookmarkStart w:id="66" w:name="_Toc22049"/>
      <w:bookmarkStart w:id="67" w:name="_Toc1747"/>
      <w:bookmarkStart w:id="68" w:name="_Toc23253"/>
      <w:bookmarkStart w:id="69" w:name="_Toc12368"/>
      <w:bookmarkStart w:id="70" w:name="_Toc25322"/>
      <w:r>
        <w:rPr>
          <w:rFonts w:hint="eastAsia" w:ascii="仿宋_GB2312" w:hAnsi="仿宋_GB2312" w:eastAsia="仿宋_GB2312" w:cs="仿宋_GB2312"/>
          <w:b/>
          <w:bCs/>
          <w:color w:val="auto"/>
          <w:sz w:val="32"/>
          <w:szCs w:val="32"/>
        </w:rPr>
        <w:t>2.退役士兵（含大学生退役士兵）</w:t>
      </w:r>
      <w:bookmarkEnd w:id="63"/>
      <w:bookmarkEnd w:id="64"/>
      <w:bookmarkEnd w:id="65"/>
      <w:bookmarkEnd w:id="66"/>
      <w:bookmarkEnd w:id="67"/>
      <w:bookmarkEnd w:id="68"/>
      <w:bookmarkEnd w:id="69"/>
      <w:bookmarkEnd w:id="70"/>
    </w:p>
    <w:p w14:paraId="47F6DE1A">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14:paraId="2FBF2336">
      <w:pPr>
        <w:spacing w:line="480" w:lineRule="exact"/>
        <w:ind w:firstLine="643" w:firstLineChars="200"/>
        <w:outlineLvl w:val="2"/>
        <w:rPr>
          <w:rFonts w:ascii="仿宋_GB2312" w:hAnsi="仿宋_GB2312" w:eastAsia="仿宋_GB2312" w:cs="仿宋_GB2312"/>
          <w:b/>
          <w:bCs/>
          <w:strike w:val="0"/>
          <w:dstrike w:val="0"/>
          <w:color w:val="auto"/>
          <w:sz w:val="32"/>
          <w:szCs w:val="32"/>
        </w:rPr>
      </w:pPr>
      <w:bookmarkStart w:id="71" w:name="_Toc31915"/>
      <w:bookmarkStart w:id="72" w:name="_Toc15434"/>
      <w:bookmarkStart w:id="73" w:name="_Toc6260"/>
      <w:bookmarkStart w:id="74" w:name="_Toc5502"/>
      <w:bookmarkStart w:id="75" w:name="_Toc21973"/>
      <w:bookmarkStart w:id="76" w:name="_Toc25454"/>
      <w:r>
        <w:rPr>
          <w:rFonts w:hint="eastAsia" w:ascii="仿宋_GB2312" w:hAnsi="仿宋_GB2312" w:eastAsia="仿宋_GB2312" w:cs="仿宋_GB2312"/>
          <w:b/>
          <w:bCs/>
          <w:strike w:val="0"/>
          <w:dstrike w:val="0"/>
          <w:color w:val="auto"/>
          <w:sz w:val="32"/>
          <w:szCs w:val="32"/>
        </w:rPr>
        <w:t>3.退役优秀运动员</w:t>
      </w:r>
      <w:bookmarkEnd w:id="71"/>
      <w:bookmarkEnd w:id="72"/>
      <w:bookmarkEnd w:id="73"/>
      <w:bookmarkEnd w:id="74"/>
      <w:bookmarkEnd w:id="75"/>
      <w:bookmarkEnd w:id="76"/>
    </w:p>
    <w:p w14:paraId="4A6D4F41">
      <w:pPr>
        <w:spacing w:line="480" w:lineRule="exact"/>
        <w:ind w:firstLine="640" w:firstLineChars="200"/>
        <w:rPr>
          <w:rFonts w:ascii="仿宋_GB2312" w:eastAsia="仿宋_GB2312"/>
          <w:strike w:val="0"/>
          <w:dstrike w:val="0"/>
          <w:color w:val="auto"/>
          <w:sz w:val="32"/>
          <w:szCs w:val="32"/>
        </w:rPr>
      </w:pPr>
      <w:r>
        <w:rPr>
          <w:rFonts w:hint="eastAsia" w:ascii="仿宋_GB2312" w:eastAsia="仿宋_GB2312"/>
          <w:strike w:val="0"/>
          <w:dstrike w:val="0"/>
          <w:color w:val="auto"/>
          <w:sz w:val="32"/>
          <w:szCs w:val="32"/>
        </w:rPr>
        <w:t>厦门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w:t>
      </w:r>
      <w:bookmarkEnd w:id="62"/>
      <w:r>
        <w:rPr>
          <w:rFonts w:hint="eastAsia" w:ascii="仿宋_GB2312" w:eastAsia="仿宋_GB2312"/>
          <w:strike w:val="0"/>
          <w:dstrike w:val="0"/>
          <w:color w:val="auto"/>
          <w:sz w:val="32"/>
          <w:szCs w:val="32"/>
        </w:rPr>
        <w:t>获得省运动会冠军，全国锦标赛、全国冠军赛或篮球、排球、足球全国职业联赛第2或第3名，亚洲体育三大比赛（亚运会、亚锦赛、亚洲杯）第4至第6名的，加7分。</w:t>
      </w:r>
    </w:p>
    <w:p w14:paraId="79B2F599">
      <w:pPr>
        <w:spacing w:line="480" w:lineRule="exact"/>
        <w:ind w:firstLine="643" w:firstLineChars="200"/>
        <w:outlineLvl w:val="1"/>
        <w:rPr>
          <w:rFonts w:ascii="楷体" w:hAnsi="楷体" w:eastAsia="楷体" w:cs="楷体"/>
          <w:b/>
          <w:bCs/>
          <w:color w:val="auto"/>
          <w:sz w:val="32"/>
          <w:szCs w:val="32"/>
        </w:rPr>
      </w:pPr>
      <w:bookmarkStart w:id="77" w:name="_Toc2723"/>
      <w:bookmarkStart w:id="78" w:name="_Toc2914"/>
      <w:r>
        <w:rPr>
          <w:rFonts w:hint="eastAsia" w:ascii="楷体" w:hAnsi="楷体" w:eastAsia="楷体" w:cs="楷体"/>
          <w:b/>
          <w:bCs/>
          <w:color w:val="auto"/>
          <w:sz w:val="32"/>
          <w:szCs w:val="32"/>
        </w:rPr>
        <w:t>（三）加分证明材料</w:t>
      </w:r>
      <w:bookmarkEnd w:id="77"/>
      <w:bookmarkEnd w:id="78"/>
    </w:p>
    <w:p w14:paraId="2036167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仿宋_GB2312" w:eastAsia="仿宋_GB2312"/>
          <w:color w:val="auto"/>
          <w:sz w:val="32"/>
          <w:szCs w:val="32"/>
        </w:rPr>
      </w:pPr>
      <w:r>
        <w:rPr>
          <w:rFonts w:hint="eastAsia" w:ascii="仿宋_GB2312" w:eastAsia="仿宋_GB2312"/>
          <w:color w:val="auto"/>
          <w:sz w:val="32"/>
          <w:szCs w:val="32"/>
        </w:rPr>
        <w:t>符合加分政策的报考人员须在网上报名时如实填报，并于</w:t>
      </w:r>
      <w:r>
        <w:rPr>
          <w:rFonts w:hint="eastAsia" w:ascii="仿宋_GB2312" w:eastAsia="仿宋_GB2312"/>
          <w:b/>
          <w:bCs/>
          <w:color w:val="auto"/>
          <w:sz w:val="32"/>
          <w:szCs w:val="32"/>
          <w:u w:val="single"/>
        </w:rPr>
        <w:t>报名期间</w:t>
      </w:r>
      <w:r>
        <w:rPr>
          <w:rFonts w:hint="eastAsia" w:ascii="仿宋_GB2312" w:eastAsia="仿宋_GB2312"/>
          <w:color w:val="auto"/>
          <w:sz w:val="32"/>
          <w:szCs w:val="32"/>
        </w:rPr>
        <w:t>主动向招聘单位沟通提交以下加分证明材料（提交方式请与招聘单位联系人联系），否则视为放弃享受加分政策：</w:t>
      </w:r>
    </w:p>
    <w:p w14:paraId="247E23D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仿宋_GB2312" w:eastAsia="仿宋_GB2312"/>
          <w:color w:val="auto"/>
          <w:sz w:val="32"/>
          <w:szCs w:val="32"/>
        </w:rPr>
      </w:pPr>
      <w:r>
        <w:rPr>
          <w:rFonts w:hint="eastAsia" w:ascii="仿宋_GB2312" w:eastAsia="仿宋_GB2312"/>
          <w:color w:val="auto"/>
          <w:sz w:val="32"/>
          <w:szCs w:val="32"/>
        </w:rPr>
        <w:t>1.服务基层项目毕业生须提交组织实施相应项目的机构出具的服务基层期满考核合格证书（或服务期满考核合格材料），以及福建户籍或福建生源证明材料。</w:t>
      </w:r>
    </w:p>
    <w:p w14:paraId="2F1DBA1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仿宋_GB2312" w:eastAsia="仿宋_GB2312"/>
          <w:color w:val="auto"/>
          <w:sz w:val="32"/>
          <w:szCs w:val="32"/>
        </w:rPr>
      </w:pPr>
      <w:r>
        <w:rPr>
          <w:rFonts w:hint="eastAsia" w:ascii="仿宋_GB2312" w:eastAsia="仿宋_GB2312"/>
          <w:color w:val="auto"/>
          <w:sz w:val="32"/>
          <w:szCs w:val="32"/>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14:paraId="49E616B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仿宋_GB2312" w:eastAsia="仿宋_GB2312"/>
          <w:color w:val="auto"/>
          <w:sz w:val="32"/>
          <w:szCs w:val="32"/>
        </w:rPr>
      </w:pPr>
      <w:r>
        <w:rPr>
          <w:rFonts w:hint="eastAsia" w:ascii="仿宋_GB2312" w:eastAsia="仿宋_GB2312"/>
          <w:color w:val="auto"/>
          <w:sz w:val="32"/>
          <w:szCs w:val="32"/>
        </w:rPr>
        <w:t>3.符合加分政策的我市退役优秀运动员可持相应奖项证书前往厦门市体育局人事处开具证明材料(联系电话0592-5339322)。</w:t>
      </w:r>
      <w:bookmarkStart w:id="79" w:name="_Toc18138"/>
      <w:bookmarkStart w:id="80" w:name="_Toc15587"/>
    </w:p>
    <w:p w14:paraId="69DB75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ascii="黑体" w:hAnsi="黑体" w:eastAsia="黑体"/>
          <w:b/>
          <w:bCs/>
          <w:color w:val="auto"/>
          <w:sz w:val="32"/>
          <w:szCs w:val="32"/>
        </w:rPr>
      </w:pPr>
      <w:r>
        <w:rPr>
          <w:rFonts w:hint="eastAsia" w:ascii="黑体" w:hAnsi="黑体" w:eastAsia="黑体"/>
          <w:color w:val="auto"/>
          <w:sz w:val="32"/>
          <w:szCs w:val="32"/>
        </w:rPr>
        <w:t>十一、综合总分计算</w:t>
      </w:r>
      <w:bookmarkEnd w:id="79"/>
      <w:bookmarkEnd w:id="80"/>
    </w:p>
    <w:p w14:paraId="1806962F">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综合总分合格线为60分，其中：</w:t>
      </w:r>
    </w:p>
    <w:p w14:paraId="60E54285">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（一）免笔试参加面试的：综合总分=面试成绩。</w:t>
      </w:r>
    </w:p>
    <w:p w14:paraId="5E616CDD">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（二）有笔试和面试的：综合总分=笔试成绩×50%+面试成绩×50%。</w:t>
      </w:r>
    </w:p>
    <w:p w14:paraId="5930818E">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笔试成绩、面试成绩、综合总分均采用四舍五入方式取小数点后2位（必要时可增加小数点位数）。对于综合总分相同者，按以下顺序进一步确定名次排列：</w:t>
      </w:r>
    </w:p>
    <w:p w14:paraId="7D3EFD0F">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（一）按笔试成绩从高到低排列；</w:t>
      </w:r>
    </w:p>
    <w:p w14:paraId="612020C7">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（二）若笔试成绩相同，按面试实际成绩（追溯小数点位数）从高到低排列；</w:t>
      </w:r>
    </w:p>
    <w:p w14:paraId="1F054A3E">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若面试成绩依然相同，符合国家、福建省或厦门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p>
    <w:p w14:paraId="27C64623">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81" w:name="_Toc31410"/>
      <w:bookmarkStart w:id="82" w:name="_Toc19682"/>
      <w:r>
        <w:rPr>
          <w:rFonts w:hint="eastAsia" w:ascii="黑体" w:hAnsi="黑体" w:eastAsia="黑体"/>
          <w:color w:val="auto"/>
          <w:sz w:val="32"/>
          <w:szCs w:val="32"/>
        </w:rPr>
        <w:t>十二、体检和考察</w:t>
      </w:r>
      <w:bookmarkEnd w:id="81"/>
      <w:bookmarkEnd w:id="82"/>
    </w:p>
    <w:p w14:paraId="2E3C72EE">
      <w:pPr>
        <w:spacing w:line="480" w:lineRule="exact"/>
        <w:ind w:firstLine="643" w:firstLineChars="200"/>
        <w:outlineLvl w:val="1"/>
        <w:rPr>
          <w:rFonts w:ascii="楷体" w:hAnsi="楷体" w:eastAsia="楷体"/>
          <w:b/>
          <w:color w:val="auto"/>
          <w:sz w:val="32"/>
          <w:szCs w:val="32"/>
        </w:rPr>
      </w:pPr>
      <w:bookmarkStart w:id="83" w:name="_Toc23092"/>
      <w:bookmarkStart w:id="84" w:name="_Toc14018"/>
      <w:r>
        <w:rPr>
          <w:rFonts w:hint="eastAsia" w:ascii="楷体" w:hAnsi="楷体" w:eastAsia="楷体"/>
          <w:b/>
          <w:color w:val="auto"/>
          <w:sz w:val="32"/>
          <w:szCs w:val="32"/>
        </w:rPr>
        <w:t>（一）确定体检人选</w:t>
      </w:r>
      <w:bookmarkEnd w:id="83"/>
      <w:bookmarkEnd w:id="84"/>
    </w:p>
    <w:p w14:paraId="36DAEF1E">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从笔试、面试成绩和综合总分均合格者中，根据综合总分排名顺序，按岗位拟招聘人数1:1的比例从高分至低分确定体检人选。 </w:t>
      </w:r>
    </w:p>
    <w:p w14:paraId="38AD3A01">
      <w:pPr>
        <w:spacing w:line="480" w:lineRule="exact"/>
        <w:ind w:firstLine="640" w:firstLineChars="200"/>
        <w:rPr>
          <w:rFonts w:hint="eastAsia" w:ascii="仿宋_GB2312" w:eastAsia="仿宋_GB2312"/>
          <w:color w:val="auto"/>
          <w:sz w:val="32"/>
          <w:szCs w:val="32"/>
        </w:rPr>
      </w:pPr>
      <w:r>
        <w:rPr>
          <w:rFonts w:hint="default" w:ascii="Times New Roman" w:hAnsi="Times New Roman" w:eastAsia="仿宋_GB2312" w:cs="Times New Roman"/>
          <w:color w:val="auto"/>
          <w:sz w:val="32"/>
          <w:szCs w:val="32"/>
        </w:rPr>
        <w:t>体检对象属于机关事业单位在编人员或国有企业在职人员的，应于体检前向招聘单位主管部门提交同意报考材料（包括同意报考证明或同意辞职证明或同意解除聘用、劳动合同证明）。其中，机关事业单位在编人员应按干部管理权限提交属地组织</w:t>
      </w:r>
      <w:r>
        <w:rPr>
          <w:rFonts w:hint="default" w:ascii="Times New Roman" w:hAnsi="Times New Roman" w:eastAsia="仿宋_GB2312" w:cs="Times New Roman"/>
          <w:color w:val="auto"/>
          <w:sz w:val="32"/>
          <w:szCs w:val="32"/>
          <w:lang w:eastAsia="zh-CN"/>
        </w:rPr>
        <w:t>人社</w:t>
      </w:r>
      <w:r>
        <w:rPr>
          <w:rFonts w:hint="default" w:ascii="Times New Roman" w:hAnsi="Times New Roman" w:eastAsia="仿宋_GB2312" w:cs="Times New Roman"/>
          <w:color w:val="auto"/>
          <w:sz w:val="32"/>
          <w:szCs w:val="32"/>
        </w:rPr>
        <w:t>部门或主管部门出具的同意报考材料；国有企业在职人员须提交所在单位出具的同意报考材料。</w:t>
      </w:r>
    </w:p>
    <w:p w14:paraId="1F42FAE6">
      <w:pPr>
        <w:spacing w:line="480" w:lineRule="exact"/>
        <w:ind w:firstLine="643" w:firstLineChars="200"/>
        <w:outlineLvl w:val="1"/>
        <w:rPr>
          <w:rFonts w:ascii="楷体" w:hAnsi="楷体" w:eastAsia="楷体"/>
          <w:b/>
          <w:color w:val="auto"/>
          <w:sz w:val="32"/>
          <w:szCs w:val="32"/>
        </w:rPr>
      </w:pPr>
      <w:bookmarkStart w:id="85" w:name="_Toc7365"/>
      <w:bookmarkStart w:id="86" w:name="_Toc9651"/>
      <w:r>
        <w:rPr>
          <w:rFonts w:hint="eastAsia" w:ascii="楷体" w:hAnsi="楷体" w:eastAsia="楷体"/>
          <w:b/>
          <w:color w:val="auto"/>
          <w:sz w:val="32"/>
          <w:szCs w:val="32"/>
        </w:rPr>
        <w:t>（二）组织体检</w:t>
      </w:r>
      <w:bookmarkEnd w:id="85"/>
      <w:bookmarkEnd w:id="86"/>
    </w:p>
    <w:p w14:paraId="79937A62">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体检和考察由招聘单位会同主管部门负责组织实施。体检人员应根据通知按时参加并配合体检，否则，视为放弃资格。</w:t>
      </w:r>
    </w:p>
    <w:p w14:paraId="0EEE2229">
      <w:pPr>
        <w:spacing w:line="480" w:lineRule="exact"/>
        <w:ind w:firstLine="643" w:firstLineChars="200"/>
        <w:outlineLvl w:val="1"/>
        <w:rPr>
          <w:rFonts w:ascii="楷体" w:hAnsi="楷体" w:eastAsia="楷体"/>
          <w:b/>
          <w:color w:val="auto"/>
          <w:sz w:val="32"/>
          <w:szCs w:val="32"/>
        </w:rPr>
      </w:pPr>
      <w:bookmarkStart w:id="87" w:name="_Toc27667"/>
      <w:bookmarkStart w:id="88" w:name="_Toc13250"/>
      <w:r>
        <w:rPr>
          <w:rFonts w:hint="eastAsia" w:ascii="楷体" w:hAnsi="楷体" w:eastAsia="楷体"/>
          <w:b/>
          <w:color w:val="auto"/>
          <w:sz w:val="32"/>
          <w:szCs w:val="32"/>
        </w:rPr>
        <w:t>（三）体检依据</w:t>
      </w:r>
      <w:bookmarkEnd w:id="87"/>
      <w:bookmarkEnd w:id="88"/>
    </w:p>
    <w:p w14:paraId="215A8DFF">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14:paraId="0C3394E8">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体检医院由招聘单位和主管部门根据要求指定。具体检测方法由体检医院结合实际确定，体检结论以体检医院出具的体检报告为准。</w:t>
      </w:r>
    </w:p>
    <w:p w14:paraId="5CF8C6A9">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体（复）检费用个人自理。凡在体检中弄虚作假或隐瞒真实情况的报考者，不予聘用或取消聘用。</w:t>
      </w:r>
    </w:p>
    <w:p w14:paraId="27BC6544">
      <w:pPr>
        <w:spacing w:line="480" w:lineRule="exact"/>
        <w:ind w:firstLine="643" w:firstLineChars="200"/>
        <w:outlineLvl w:val="1"/>
        <w:rPr>
          <w:rFonts w:ascii="楷体" w:hAnsi="楷体" w:eastAsia="楷体"/>
          <w:b/>
          <w:color w:val="auto"/>
          <w:sz w:val="32"/>
          <w:szCs w:val="32"/>
        </w:rPr>
      </w:pPr>
      <w:bookmarkStart w:id="89" w:name="_Toc5916"/>
      <w:bookmarkStart w:id="90" w:name="_Toc19031"/>
      <w:r>
        <w:rPr>
          <w:rFonts w:hint="eastAsia" w:ascii="楷体" w:hAnsi="楷体" w:eastAsia="楷体"/>
          <w:b/>
          <w:color w:val="auto"/>
          <w:sz w:val="32"/>
          <w:szCs w:val="32"/>
        </w:rPr>
        <w:t>（四）体检复检</w:t>
      </w:r>
      <w:bookmarkEnd w:id="89"/>
      <w:bookmarkEnd w:id="90"/>
    </w:p>
    <w:p w14:paraId="64D5774D">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复检参照人力资源社会保障部、卫生部、国家公务员</w:t>
      </w:r>
      <w:r>
        <w:rPr>
          <w:rFonts w:hint="eastAsia" w:ascii="仿宋_GB2312" w:eastAsia="仿宋_GB2312"/>
          <w:color w:val="auto"/>
          <w:sz w:val="32"/>
          <w:szCs w:val="32"/>
          <w:lang w:eastAsia="zh-CN"/>
        </w:rPr>
        <w:t>局</w:t>
      </w:r>
      <w:r>
        <w:rPr>
          <w:rFonts w:hint="eastAsia" w:ascii="仿宋_GB2312" w:eastAsia="仿宋_GB2312"/>
          <w:color w:val="auto"/>
          <w:sz w:val="32"/>
          <w:szCs w:val="32"/>
        </w:rPr>
        <w:t>《关于进一步做好公务员考试录用体检工作的通知》(人社部发〔2012〕65号)的有关规定执行，其中：</w:t>
      </w:r>
    </w:p>
    <w:p w14:paraId="6342BB1B">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 对心率、视力、听力、血压等项目达不到体检合格标准的，安排</w:t>
      </w:r>
      <w:r>
        <w:rPr>
          <w:rFonts w:hint="eastAsia" w:ascii="仿宋_GB2312" w:eastAsia="仿宋_GB2312"/>
          <w:b/>
          <w:bCs/>
          <w:color w:val="auto"/>
          <w:sz w:val="32"/>
          <w:szCs w:val="32"/>
        </w:rPr>
        <w:t>当日复检</w:t>
      </w:r>
      <w:r>
        <w:rPr>
          <w:rFonts w:hint="eastAsia" w:ascii="仿宋_GB2312" w:eastAsia="仿宋_GB2312"/>
          <w:color w:val="auto"/>
          <w:sz w:val="32"/>
          <w:szCs w:val="32"/>
        </w:rPr>
        <w:t>；对边缘性心脏杂音、病理性心电图、病理性杂音、频发早搏（心电图证实）等项目达不到体检合格标准的，安排</w:t>
      </w:r>
      <w:r>
        <w:rPr>
          <w:rFonts w:hint="eastAsia" w:ascii="仿宋_GB2312" w:eastAsia="仿宋_GB2312"/>
          <w:b/>
          <w:bCs/>
          <w:color w:val="auto"/>
          <w:sz w:val="32"/>
          <w:szCs w:val="32"/>
        </w:rPr>
        <w:t>当场复检</w:t>
      </w:r>
      <w:r>
        <w:rPr>
          <w:rFonts w:hint="eastAsia" w:ascii="仿宋_GB2312" w:eastAsia="仿宋_GB2312"/>
          <w:color w:val="auto"/>
          <w:sz w:val="32"/>
          <w:szCs w:val="32"/>
        </w:rPr>
        <w:t>。</w:t>
      </w:r>
    </w:p>
    <w:p w14:paraId="171E22FA">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2.考生</w:t>
      </w:r>
      <w:r>
        <w:rPr>
          <w:rFonts w:hint="eastAsia" w:ascii="仿宋_GB2312" w:eastAsia="仿宋_GB2312"/>
          <w:b/>
          <w:bCs/>
          <w:color w:val="auto"/>
          <w:sz w:val="32"/>
          <w:szCs w:val="32"/>
        </w:rPr>
        <w:t>对非当日或非当场复检的体检项目结果有疑问时</w:t>
      </w:r>
      <w:r>
        <w:rPr>
          <w:rFonts w:hint="eastAsia" w:ascii="仿宋_GB2312" w:eastAsia="仿宋_GB2312"/>
          <w:color w:val="auto"/>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14:paraId="745E679B">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3.组织体检单位对体检结论有疑问的，在接到体检结论通知之日起7日内决定是否进行复检。</w:t>
      </w:r>
    </w:p>
    <w:p w14:paraId="5A957F39">
      <w:pPr>
        <w:spacing w:line="480" w:lineRule="exact"/>
        <w:ind w:firstLine="643" w:firstLineChars="200"/>
        <w:outlineLvl w:val="1"/>
        <w:rPr>
          <w:rFonts w:ascii="楷体" w:hAnsi="楷体" w:eastAsia="楷体"/>
          <w:b/>
          <w:color w:val="auto"/>
          <w:sz w:val="32"/>
          <w:szCs w:val="32"/>
        </w:rPr>
      </w:pPr>
      <w:bookmarkStart w:id="91" w:name="_Toc26348"/>
      <w:bookmarkStart w:id="92" w:name="_Toc6771"/>
      <w:r>
        <w:rPr>
          <w:rFonts w:hint="eastAsia" w:ascii="楷体" w:hAnsi="楷体" w:eastAsia="楷体"/>
          <w:b/>
          <w:color w:val="auto"/>
          <w:sz w:val="32"/>
          <w:szCs w:val="32"/>
        </w:rPr>
        <w:t>（五）可延迟体检的情形</w:t>
      </w:r>
      <w:bookmarkEnd w:id="91"/>
      <w:bookmarkEnd w:id="92"/>
    </w:p>
    <w:p w14:paraId="64B46814">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女性报考者因怀孕、哺乳期需申请延期体检的，应提供相应的医学证明并与组织体检单位约定延缓体检的合理期限。</w:t>
      </w:r>
    </w:p>
    <w:p w14:paraId="77F7A819">
      <w:pPr>
        <w:spacing w:line="480" w:lineRule="exact"/>
        <w:ind w:firstLine="643" w:firstLineChars="200"/>
        <w:outlineLvl w:val="1"/>
        <w:rPr>
          <w:rFonts w:ascii="楷体" w:hAnsi="楷体" w:eastAsia="楷体"/>
          <w:b/>
          <w:color w:val="auto"/>
          <w:sz w:val="32"/>
          <w:szCs w:val="32"/>
        </w:rPr>
      </w:pPr>
      <w:bookmarkStart w:id="93" w:name="_Toc15126"/>
      <w:bookmarkStart w:id="94" w:name="_Toc25233"/>
      <w:r>
        <w:rPr>
          <w:rFonts w:hint="eastAsia" w:ascii="楷体" w:hAnsi="楷体" w:eastAsia="楷体"/>
          <w:b/>
          <w:color w:val="auto"/>
          <w:sz w:val="32"/>
          <w:szCs w:val="32"/>
        </w:rPr>
        <w:t>（六）考察</w:t>
      </w:r>
      <w:bookmarkEnd w:id="93"/>
      <w:bookmarkEnd w:id="94"/>
    </w:p>
    <w:p w14:paraId="36A1080B">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14:paraId="5D1B1E6D">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考察工作前，通过中国执行信息公开网（http://zxgk.court.gov.cn/）核实考察对象有无失信被执行的情况。被依法列为失信联合惩戒对象的，不得报考或或取消报考（聘用）资格。</w:t>
      </w:r>
    </w:p>
    <w:p w14:paraId="1A65BC91">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95" w:name="_Toc25684"/>
      <w:bookmarkStart w:id="96" w:name="_Toc28985"/>
      <w:r>
        <w:rPr>
          <w:rFonts w:hint="eastAsia" w:ascii="黑体" w:hAnsi="黑体" w:eastAsia="黑体"/>
          <w:color w:val="auto"/>
          <w:sz w:val="32"/>
          <w:szCs w:val="32"/>
        </w:rPr>
        <w:t>十三、公示</w:t>
      </w:r>
      <w:bookmarkEnd w:id="95"/>
      <w:bookmarkEnd w:id="96"/>
    </w:p>
    <w:p w14:paraId="0054160C">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根据岗位要求以及考试、体检、考察结果，确定拟聘用人员名单，并在思明区政府网站(http://www.siming.gov.cn/)通知公告栏公示</w:t>
      </w:r>
      <w:r>
        <w:rPr>
          <w:rFonts w:ascii="仿宋_GB2312" w:eastAsia="仿宋_GB2312"/>
          <w:color w:val="auto"/>
          <w:sz w:val="32"/>
          <w:szCs w:val="32"/>
        </w:rPr>
        <w:t>7</w:t>
      </w:r>
      <w:r>
        <w:rPr>
          <w:rFonts w:hint="eastAsia" w:ascii="仿宋_GB2312" w:eastAsia="仿宋_GB2312"/>
          <w:color w:val="auto"/>
          <w:sz w:val="32"/>
          <w:szCs w:val="32"/>
        </w:rPr>
        <w:t>个工作日。公示内容包括招聘单位名称、招聘岗位、拟聘人员基本信息等。</w:t>
      </w:r>
    </w:p>
    <w:p w14:paraId="43B02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default" w:ascii="Times New Roman" w:hAnsi="Times New Roman" w:eastAsia="仿宋_GB2312" w:cs="Times New Roman"/>
          <w:color w:val="auto"/>
          <w:sz w:val="32"/>
          <w:szCs w:val="32"/>
        </w:rPr>
        <w:t>对未取得有关证书的人员（如</w:t>
      </w:r>
      <w:r>
        <w:rPr>
          <w:rFonts w:hint="eastAsia" w:ascii="仿宋_GB2312" w:hAnsi="仿宋_GB2312" w:eastAsia="仿宋_GB2312" w:cs="仿宋_GB2312"/>
          <w:color w:val="auto"/>
          <w:sz w:val="32"/>
          <w:szCs w:val="32"/>
        </w:rPr>
        <w:t>2025</w:t>
      </w:r>
      <w:r>
        <w:rPr>
          <w:rFonts w:hint="eastAsia" w:ascii="Times New Roman" w:hAnsi="Times New Roman" w:eastAsia="仿宋_GB2312" w:cs="Times New Roman"/>
          <w:color w:val="auto"/>
          <w:sz w:val="32"/>
          <w:szCs w:val="32"/>
          <w:lang w:eastAsia="zh-CN"/>
        </w:rPr>
        <w:t>年应届</w:t>
      </w:r>
      <w:r>
        <w:rPr>
          <w:rFonts w:hint="default" w:ascii="Times New Roman" w:hAnsi="Times New Roman" w:eastAsia="仿宋_GB2312" w:cs="Times New Roman"/>
          <w:color w:val="auto"/>
          <w:sz w:val="32"/>
          <w:szCs w:val="32"/>
        </w:rPr>
        <w:t>毕业生、服务基层项目高校毕业生等）可先予以公示，在规定时限内（详见《报考须知》）提供相应证书后，再办理聘用手续。</w:t>
      </w:r>
    </w:p>
    <w:p w14:paraId="5F21F620">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97" w:name="_Toc26070"/>
      <w:bookmarkStart w:id="98" w:name="_Toc7974"/>
      <w:r>
        <w:rPr>
          <w:rFonts w:hint="eastAsia" w:ascii="黑体" w:hAnsi="黑体" w:eastAsia="黑体"/>
          <w:color w:val="auto"/>
          <w:sz w:val="32"/>
          <w:szCs w:val="32"/>
        </w:rPr>
        <w:t>十四、聘用办理</w:t>
      </w:r>
      <w:bookmarkEnd w:id="97"/>
      <w:bookmarkEnd w:id="98"/>
    </w:p>
    <w:p w14:paraId="64FA9857">
      <w:pPr>
        <w:spacing w:line="480" w:lineRule="exact"/>
        <w:ind w:firstLine="643" w:firstLineChars="200"/>
        <w:outlineLvl w:val="1"/>
        <w:rPr>
          <w:rFonts w:ascii="楷体" w:hAnsi="楷体" w:eastAsia="楷体"/>
          <w:b/>
          <w:color w:val="auto"/>
          <w:sz w:val="32"/>
          <w:szCs w:val="32"/>
        </w:rPr>
      </w:pPr>
      <w:bookmarkStart w:id="99" w:name="_Toc25950"/>
      <w:bookmarkStart w:id="100" w:name="_Toc5071"/>
      <w:r>
        <w:rPr>
          <w:rFonts w:hint="eastAsia" w:ascii="楷体" w:hAnsi="楷体" w:eastAsia="楷体"/>
          <w:b/>
          <w:color w:val="auto"/>
          <w:sz w:val="32"/>
          <w:szCs w:val="32"/>
        </w:rPr>
        <w:t>（一）聘用手续办理</w:t>
      </w:r>
      <w:bookmarkEnd w:id="99"/>
      <w:bookmarkEnd w:id="100"/>
    </w:p>
    <w:p w14:paraId="4D9D5EAB">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公示结果无异议，或经招聘单位会同主管部门核实不影响聘用的，拟聘人员应于公示期满后</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个月内提供办理聘用手续所需的材料（含个人人事档案），因情况确实特殊、无法在上述期限内提供完备资料的，与招聘单位及其主管部门协商同意并书面承诺后可适当延长材料提交时限（延长时限原则上不超过</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个月），否则视为放弃聘用资格。</w:t>
      </w:r>
    </w:p>
    <w:p w14:paraId="6E1A7D08">
      <w:pPr>
        <w:spacing w:line="480" w:lineRule="exact"/>
        <w:ind w:firstLine="643" w:firstLineChars="200"/>
        <w:outlineLvl w:val="1"/>
        <w:rPr>
          <w:rFonts w:ascii="楷体" w:hAnsi="楷体" w:eastAsia="楷体"/>
          <w:b/>
          <w:color w:val="auto"/>
          <w:sz w:val="32"/>
          <w:szCs w:val="32"/>
        </w:rPr>
      </w:pPr>
      <w:bookmarkStart w:id="101" w:name="_Toc10077"/>
      <w:bookmarkStart w:id="102" w:name="_Toc22053"/>
      <w:r>
        <w:rPr>
          <w:rFonts w:hint="eastAsia" w:ascii="楷体" w:hAnsi="楷体" w:eastAsia="楷体"/>
          <w:b/>
          <w:color w:val="auto"/>
          <w:sz w:val="32"/>
          <w:szCs w:val="32"/>
        </w:rPr>
        <w:t>（二）岗位聘任</w:t>
      </w:r>
      <w:bookmarkEnd w:id="101"/>
      <w:bookmarkEnd w:id="102"/>
    </w:p>
    <w:p w14:paraId="405C84B8">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14:paraId="085D31EB">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14:paraId="70DB66AA">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103" w:name="_Toc16164"/>
      <w:bookmarkStart w:id="104" w:name="_Toc21906"/>
      <w:r>
        <w:rPr>
          <w:rFonts w:hint="eastAsia" w:ascii="黑体" w:hAnsi="黑体" w:eastAsia="黑体"/>
          <w:color w:val="auto"/>
          <w:sz w:val="32"/>
          <w:szCs w:val="32"/>
        </w:rPr>
        <w:t>十五、其他需说明事项</w:t>
      </w:r>
      <w:bookmarkEnd w:id="103"/>
      <w:bookmarkEnd w:id="104"/>
    </w:p>
    <w:p w14:paraId="153D8957">
      <w:pPr>
        <w:spacing w:line="480" w:lineRule="exact"/>
        <w:ind w:firstLine="643" w:firstLineChars="200"/>
        <w:outlineLvl w:val="1"/>
        <w:rPr>
          <w:rFonts w:ascii="仿宋_GB2312" w:eastAsia="仿宋_GB2312"/>
          <w:b/>
          <w:color w:val="auto"/>
          <w:sz w:val="32"/>
          <w:szCs w:val="32"/>
        </w:rPr>
      </w:pPr>
      <w:bookmarkStart w:id="105" w:name="_Toc338"/>
      <w:bookmarkStart w:id="106" w:name="_Toc3213"/>
      <w:r>
        <w:rPr>
          <w:rFonts w:hint="eastAsia" w:ascii="楷体" w:hAnsi="楷体" w:eastAsia="楷体"/>
          <w:b/>
          <w:color w:val="auto"/>
          <w:sz w:val="32"/>
          <w:szCs w:val="32"/>
        </w:rPr>
        <w:t>（一）全日制普通教育学历</w:t>
      </w:r>
      <w:bookmarkEnd w:id="105"/>
      <w:bookmarkEnd w:id="106"/>
    </w:p>
    <w:p w14:paraId="59B7DDB0">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color w:val="auto"/>
          <w:sz w:val="32"/>
          <w:szCs w:val="32"/>
        </w:rPr>
        <w:t>入学时将档案关系转到就读学校、</w:t>
      </w:r>
      <w:r>
        <w:rPr>
          <w:rFonts w:hint="eastAsia" w:ascii="仿宋_GB2312" w:eastAsia="仿宋_GB2312"/>
          <w:color w:val="auto"/>
          <w:sz w:val="32"/>
          <w:szCs w:val="32"/>
        </w:rPr>
        <w:t>按教学计划完成该学业、取得国家承认的学历。</w:t>
      </w:r>
    </w:p>
    <w:p w14:paraId="0D3164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eastAsia="仿宋_GB2312"/>
          <w:b/>
          <w:color w:val="auto"/>
          <w:sz w:val="32"/>
          <w:szCs w:val="32"/>
        </w:rPr>
      </w:pPr>
      <w:bookmarkStart w:id="107" w:name="_Toc23479"/>
      <w:bookmarkStart w:id="108" w:name="_Toc2107"/>
      <w:r>
        <w:rPr>
          <w:rFonts w:hint="eastAsia" w:ascii="楷体" w:hAnsi="楷体" w:eastAsia="楷体"/>
          <w:b/>
          <w:color w:val="auto"/>
          <w:sz w:val="32"/>
          <w:szCs w:val="32"/>
        </w:rPr>
        <w:t>（二）职称</w:t>
      </w:r>
      <w:bookmarkEnd w:id="107"/>
      <w:bookmarkEnd w:id="108"/>
    </w:p>
    <w:p w14:paraId="03A79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rPr>
      </w:pPr>
      <w:bookmarkStart w:id="109" w:name="_Toc24686"/>
      <w:r>
        <w:rPr>
          <w:rFonts w:hint="eastAsia" w:ascii="仿宋_GB2312" w:hAnsi="宋体" w:eastAsia="仿宋_GB2312"/>
          <w:color w:val="auto"/>
          <w:sz w:val="32"/>
          <w:szCs w:val="32"/>
          <w:highlight w:val="none"/>
        </w:rPr>
        <w:t>岗位资格条件要求的职称是指经社会化评审、全国统一考试或考核确认等方式取得的专业技术职务任职资格，不含通过非公有制企业职称评审方式取得的职称。</w:t>
      </w:r>
    </w:p>
    <w:p w14:paraId="4FD69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strike w:val="0"/>
          <w:dstrike w:val="0"/>
          <w:color w:val="auto"/>
          <w:sz w:val="32"/>
          <w:szCs w:val="32"/>
          <w:highlight w:val="none"/>
        </w:rPr>
        <w:t>按照国家和省部规定自主评聘的卫生技术系列高级职称人员，须经福建省职改部门确认或</w:t>
      </w:r>
      <w:r>
        <w:rPr>
          <w:rFonts w:hint="eastAsia" w:ascii="仿宋_GB2312" w:hAnsi="宋体" w:eastAsia="仿宋_GB2312"/>
          <w:strike w:val="0"/>
          <w:dstrike w:val="0"/>
          <w:color w:val="auto"/>
          <w:sz w:val="32"/>
          <w:szCs w:val="32"/>
          <w:highlight w:val="none"/>
          <w:lang w:eastAsia="zh-CN"/>
        </w:rPr>
        <w:t>具备</w:t>
      </w:r>
      <w:r>
        <w:rPr>
          <w:rFonts w:hint="eastAsia" w:ascii="仿宋_GB2312" w:hAnsi="宋体" w:eastAsia="仿宋_GB2312"/>
          <w:strike w:val="0"/>
          <w:dstrike w:val="0"/>
          <w:color w:val="auto"/>
          <w:sz w:val="32"/>
          <w:szCs w:val="32"/>
          <w:highlight w:val="none"/>
        </w:rPr>
        <w:t>福建省职改部门颁发的卫生高级专业技术职务任职资格，方能作为岗位正常聘任和岗位级别晋升的依据。</w:t>
      </w:r>
      <w:r>
        <w:rPr>
          <w:rFonts w:hint="eastAsia" w:ascii="仿宋_GB2312" w:hAnsi="宋体" w:eastAsia="仿宋_GB2312" w:cs="宋体"/>
          <w:color w:val="auto"/>
          <w:sz w:val="32"/>
          <w:szCs w:val="32"/>
          <w:highlight w:val="none"/>
        </w:rPr>
        <w:t>以非普通教育学历报考的考生，</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医</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类岗位须取得与岗位相符的执业助理医师及以上医师资格，</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药、护、技</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三类岗位须取得与岗位相符的卫生专业技术初级及以上职务任职资格。</w:t>
      </w:r>
    </w:p>
    <w:p w14:paraId="4037E166">
      <w:pPr>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olor w:val="auto"/>
          <w:sz w:val="32"/>
          <w:szCs w:val="32"/>
          <w:highlight w:val="none"/>
        </w:rPr>
        <w:t>报考者已于报名截止日前通过岗位条件要求（含上述以非普通教育学历报考的考生须取得的资格要求）的相应资格证书考试（或评审等）但未取得证书的，须在资格复核时提供通过考试成绩单、评审通过文件或考核确认表等有效材料。202</w:t>
      </w: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年</w:t>
      </w:r>
      <w:r>
        <w:rPr>
          <w:rFonts w:hint="eastAsia" w:ascii="仿宋_GB2312" w:hAnsi="宋体" w:eastAsia="仿宋_GB2312" w:cs="宋体"/>
          <w:color w:val="auto"/>
          <w:sz w:val="32"/>
          <w:szCs w:val="32"/>
          <w:highlight w:val="none"/>
        </w:rPr>
        <w:t>毕业的医学专业“四证合一</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应届研究生，在符合报考岗位其他资格条件的前提下，其医师资格证书可于</w:t>
      </w: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年12</w:t>
      </w:r>
      <w:r>
        <w:rPr>
          <w:rFonts w:hint="eastAsia" w:ascii="仿宋_GB2312" w:hAnsi="宋体" w:eastAsia="仿宋_GB2312" w:cs="宋体"/>
          <w:color w:val="auto"/>
          <w:sz w:val="32"/>
          <w:szCs w:val="32"/>
          <w:highlight w:val="none"/>
        </w:rPr>
        <w:t>月</w:t>
      </w:r>
      <w:r>
        <w:rPr>
          <w:rFonts w:hint="eastAsia" w:ascii="仿宋_GB2312" w:hAnsi="宋体" w:eastAsia="仿宋_GB2312"/>
          <w:color w:val="auto"/>
          <w:sz w:val="32"/>
          <w:szCs w:val="32"/>
          <w:highlight w:val="none"/>
        </w:rPr>
        <w:t>31</w:t>
      </w:r>
      <w:r>
        <w:rPr>
          <w:rFonts w:hint="eastAsia" w:ascii="仿宋_GB2312" w:hAnsi="宋体" w:eastAsia="仿宋_GB2312" w:cs="宋体"/>
          <w:color w:val="auto"/>
          <w:sz w:val="32"/>
          <w:szCs w:val="32"/>
          <w:highlight w:val="none"/>
        </w:rPr>
        <w:t>日前随符合岗位报考条件的学历、学位证书一并提供。</w:t>
      </w:r>
    </w:p>
    <w:p w14:paraId="639E8F66">
      <w:pPr>
        <w:spacing w:line="480" w:lineRule="exact"/>
        <w:ind w:firstLine="643" w:firstLineChars="200"/>
        <w:outlineLvl w:val="1"/>
        <w:rPr>
          <w:rFonts w:hint="eastAsia" w:ascii="楷体" w:hAnsi="楷体" w:eastAsia="楷体"/>
          <w:b/>
          <w:color w:val="auto"/>
          <w:sz w:val="32"/>
          <w:szCs w:val="32"/>
        </w:rPr>
      </w:pPr>
      <w:bookmarkStart w:id="110" w:name="_Toc23989"/>
      <w:bookmarkStart w:id="111" w:name="_Toc23185"/>
      <w:bookmarkStart w:id="112" w:name="_Toc4426"/>
      <w:bookmarkStart w:id="113" w:name="_Toc17153"/>
      <w:bookmarkStart w:id="114" w:name="_Toc16150"/>
      <w:bookmarkStart w:id="115" w:name="_Toc16551"/>
      <w:bookmarkStart w:id="116" w:name="_Toc16324"/>
      <w:r>
        <w:rPr>
          <w:rFonts w:hint="eastAsia" w:ascii="楷体" w:hAnsi="楷体" w:eastAsia="楷体"/>
          <w:b/>
          <w:color w:val="auto"/>
          <w:sz w:val="32"/>
          <w:szCs w:val="32"/>
        </w:rPr>
        <w:t>（三）规范化培训</w:t>
      </w:r>
      <w:bookmarkEnd w:id="110"/>
      <w:bookmarkEnd w:id="111"/>
      <w:bookmarkEnd w:id="112"/>
      <w:bookmarkEnd w:id="113"/>
      <w:bookmarkEnd w:id="114"/>
      <w:bookmarkEnd w:id="115"/>
      <w:bookmarkEnd w:id="116"/>
    </w:p>
    <w:p w14:paraId="428D8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岗位资格条件要求完成住院医师规范化培训的，是指按照《住院医师规范化培训内容和标准（试行）》完成住院医师规范化培训内容并取得合格证书。</w:t>
      </w:r>
    </w:p>
    <w:p w14:paraId="2442C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岗位资格条件要求完成全科医师规范化培训的，是指按照《卫生部专科医师培训暂行规定》、《卫生部专科医师培训标准（试行）》完成全科医师规范化培训内容并取得合格证书，或取得经过省级卫生行政部门认可的全科医学培训合格证书、社区卫生服务人员岗位培训合格证书或全科医生转岗培训合格证书等可用于注册执业范围为全科医学专业的《医师执业证书》的全科医师培训合格证明。</w:t>
      </w:r>
    </w:p>
    <w:p w14:paraId="2BBDF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报考者须于资格复核时提供岗位资格条件要求的规范化培训合格证书或通过考试成绩单。</w:t>
      </w: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年</w:t>
      </w:r>
      <w:r>
        <w:rPr>
          <w:rFonts w:hint="eastAsia" w:ascii="仿宋_GB2312" w:hAnsi="宋体" w:eastAsia="仿宋_GB2312" w:cs="宋体"/>
          <w:color w:val="auto"/>
          <w:sz w:val="32"/>
          <w:szCs w:val="32"/>
          <w:highlight w:val="none"/>
        </w:rPr>
        <w:t>毕业的医学专业“四证合一</w:t>
      </w:r>
      <w:r>
        <w:rPr>
          <w:rFonts w:hint="eastAsia" w:ascii="仿宋_GB2312" w:hAnsi="宋体" w:eastAsia="仿宋_GB2312"/>
          <w:color w:val="auto"/>
          <w:sz w:val="32"/>
          <w:szCs w:val="32"/>
          <w:highlight w:val="none"/>
        </w:rPr>
        <w:t>”</w:t>
      </w:r>
      <w:r>
        <w:rPr>
          <w:rFonts w:hint="eastAsia" w:ascii="仿宋_GB2312" w:hAnsi="宋体" w:eastAsia="仿宋_GB2312" w:cs="宋体"/>
          <w:color w:val="auto"/>
          <w:sz w:val="32"/>
          <w:szCs w:val="32"/>
          <w:highlight w:val="none"/>
        </w:rPr>
        <w:t>应届研究生，在符合报考岗位其他资格条件的前提下，其住院医师规范化培训合格证书可于</w:t>
      </w:r>
      <w:r>
        <w:rPr>
          <w:rFonts w:hint="eastAsia" w:ascii="仿宋_GB2312" w:hAnsi="宋体" w:eastAsia="仿宋_GB2312"/>
          <w:color w:val="auto"/>
          <w:sz w:val="32"/>
          <w:szCs w:val="32"/>
          <w:highlight w:val="none"/>
        </w:rPr>
        <w:t>202</w:t>
      </w: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年12</w:t>
      </w:r>
      <w:r>
        <w:rPr>
          <w:rFonts w:hint="eastAsia" w:ascii="仿宋_GB2312" w:hAnsi="宋体" w:eastAsia="仿宋_GB2312" w:cs="宋体"/>
          <w:color w:val="auto"/>
          <w:sz w:val="32"/>
          <w:szCs w:val="32"/>
          <w:highlight w:val="none"/>
        </w:rPr>
        <w:t>月</w:t>
      </w:r>
      <w:r>
        <w:rPr>
          <w:rFonts w:hint="eastAsia" w:ascii="仿宋_GB2312" w:hAnsi="宋体" w:eastAsia="仿宋_GB2312"/>
          <w:color w:val="auto"/>
          <w:sz w:val="32"/>
          <w:szCs w:val="32"/>
          <w:highlight w:val="none"/>
        </w:rPr>
        <w:t>31</w:t>
      </w:r>
      <w:r>
        <w:rPr>
          <w:rFonts w:hint="eastAsia" w:ascii="仿宋_GB2312" w:hAnsi="宋体" w:eastAsia="仿宋_GB2312" w:cs="宋体"/>
          <w:color w:val="auto"/>
          <w:sz w:val="32"/>
          <w:szCs w:val="32"/>
          <w:highlight w:val="none"/>
        </w:rPr>
        <w:t>日前随符合岗位报考条件的学历、学位证书一并提供。</w:t>
      </w:r>
    </w:p>
    <w:p w14:paraId="4D852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p w14:paraId="58437786">
      <w:pPr>
        <w:spacing w:line="480" w:lineRule="exact"/>
        <w:ind w:firstLine="643" w:firstLineChars="200"/>
        <w:outlineLvl w:val="1"/>
        <w:rPr>
          <w:rFonts w:ascii="仿宋_GB2312" w:eastAsia="仿宋_GB2312"/>
          <w:b/>
          <w:color w:val="auto"/>
          <w:sz w:val="32"/>
          <w:szCs w:val="32"/>
        </w:rPr>
      </w:pPr>
      <w:bookmarkStart w:id="117" w:name="_Toc6704"/>
      <w:r>
        <w:rPr>
          <w:rFonts w:hint="eastAsia" w:ascii="楷体" w:hAnsi="楷体" w:eastAsia="楷体"/>
          <w:b/>
          <w:color w:val="auto"/>
          <w:sz w:val="32"/>
          <w:szCs w:val="32"/>
        </w:rPr>
        <w:t>（</w:t>
      </w:r>
      <w:r>
        <w:rPr>
          <w:rFonts w:hint="eastAsia" w:ascii="楷体" w:hAnsi="楷体" w:eastAsia="楷体"/>
          <w:b/>
          <w:color w:val="auto"/>
          <w:sz w:val="32"/>
          <w:szCs w:val="32"/>
          <w:lang w:eastAsia="zh-CN"/>
        </w:rPr>
        <w:t>四</w:t>
      </w:r>
      <w:r>
        <w:rPr>
          <w:rFonts w:hint="eastAsia" w:ascii="楷体" w:hAnsi="楷体" w:eastAsia="楷体"/>
          <w:b/>
          <w:color w:val="auto"/>
          <w:sz w:val="32"/>
          <w:szCs w:val="32"/>
        </w:rPr>
        <w:t>）生源</w:t>
      </w:r>
      <w:bookmarkEnd w:id="109"/>
      <w:bookmarkEnd w:id="117"/>
    </w:p>
    <w:p w14:paraId="1BC1C8F3">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14:paraId="04CB8BE3">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1.入学前户籍在厦门市但学籍不在厦门市的普通教育全日制毕业生；</w:t>
      </w:r>
    </w:p>
    <w:p w14:paraId="574600AB">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2.入学前户籍和学籍虽不在厦门市，但本次公开招聘报名截止日前父母或配偶有一方户籍在厦门市的普通教育全日制202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年应届毕业生；</w:t>
      </w:r>
    </w:p>
    <w:p w14:paraId="2AEDDF89">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3.根据厦府办〔2011〕229号文规定来我市就读普通高中且将户籍迁入我市的外来学生，普通高中毕业后从我市考入普通高等院校的全日制普通教育毕业生。</w:t>
      </w:r>
    </w:p>
    <w:p w14:paraId="10D29D8E">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福建生源类推界定。</w:t>
      </w:r>
    </w:p>
    <w:p w14:paraId="5D5086A9">
      <w:pPr>
        <w:spacing w:line="480" w:lineRule="exact"/>
        <w:ind w:firstLine="643" w:firstLineChars="200"/>
        <w:outlineLvl w:val="1"/>
        <w:rPr>
          <w:rFonts w:ascii="仿宋_GB2312" w:eastAsia="仿宋_GB2312"/>
          <w:b/>
          <w:color w:val="auto"/>
          <w:sz w:val="32"/>
          <w:szCs w:val="32"/>
        </w:rPr>
      </w:pPr>
      <w:bookmarkStart w:id="118" w:name="_Toc29317"/>
      <w:bookmarkStart w:id="119" w:name="_Toc2893"/>
      <w:r>
        <w:rPr>
          <w:rFonts w:hint="eastAsia" w:ascii="楷体" w:hAnsi="楷体" w:eastAsia="楷体"/>
          <w:b/>
          <w:color w:val="auto"/>
          <w:sz w:val="32"/>
          <w:szCs w:val="32"/>
        </w:rPr>
        <w:t>（</w:t>
      </w:r>
      <w:r>
        <w:rPr>
          <w:rFonts w:hint="eastAsia" w:ascii="楷体" w:hAnsi="楷体" w:eastAsia="楷体"/>
          <w:b/>
          <w:color w:val="auto"/>
          <w:sz w:val="32"/>
          <w:szCs w:val="32"/>
          <w:lang w:eastAsia="zh-CN"/>
        </w:rPr>
        <w:t>五</w:t>
      </w:r>
      <w:r>
        <w:rPr>
          <w:rFonts w:hint="eastAsia" w:ascii="楷体" w:hAnsi="楷体" w:eastAsia="楷体"/>
          <w:b/>
          <w:color w:val="auto"/>
          <w:sz w:val="32"/>
          <w:szCs w:val="32"/>
        </w:rPr>
        <w:t>）港澳台人员</w:t>
      </w:r>
      <w:bookmarkEnd w:id="118"/>
      <w:bookmarkEnd w:id="119"/>
    </w:p>
    <w:p w14:paraId="0A1006C2">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港澳台人员（不得持有外国籍）的招聘，按照国家、省和我市有关规定办理。</w:t>
      </w:r>
    </w:p>
    <w:p w14:paraId="5B15A6CE">
      <w:pPr>
        <w:spacing w:line="480" w:lineRule="exact"/>
        <w:ind w:firstLine="643" w:firstLineChars="200"/>
        <w:outlineLvl w:val="1"/>
        <w:rPr>
          <w:rFonts w:ascii="仿宋_GB2312" w:eastAsia="仿宋_GB2312"/>
          <w:b/>
          <w:color w:val="auto"/>
          <w:sz w:val="32"/>
          <w:szCs w:val="32"/>
        </w:rPr>
      </w:pPr>
      <w:bookmarkStart w:id="120" w:name="_Toc27749"/>
      <w:bookmarkStart w:id="121" w:name="_Toc1977"/>
      <w:r>
        <w:rPr>
          <w:rFonts w:hint="eastAsia" w:ascii="楷体" w:hAnsi="楷体" w:eastAsia="楷体"/>
          <w:b/>
          <w:color w:val="auto"/>
          <w:sz w:val="32"/>
          <w:szCs w:val="32"/>
        </w:rPr>
        <w:t>（</w:t>
      </w:r>
      <w:r>
        <w:rPr>
          <w:rFonts w:hint="eastAsia" w:ascii="楷体" w:hAnsi="楷体" w:eastAsia="楷体"/>
          <w:b/>
          <w:color w:val="auto"/>
          <w:sz w:val="32"/>
          <w:szCs w:val="32"/>
          <w:lang w:eastAsia="zh-CN"/>
        </w:rPr>
        <w:t>六</w:t>
      </w:r>
      <w:r>
        <w:rPr>
          <w:rFonts w:hint="eastAsia" w:ascii="楷体" w:hAnsi="楷体" w:eastAsia="楷体"/>
          <w:b/>
          <w:color w:val="auto"/>
          <w:sz w:val="32"/>
          <w:szCs w:val="32"/>
        </w:rPr>
        <w:t>）技工院校毕业生</w:t>
      </w:r>
      <w:bookmarkEnd w:id="120"/>
      <w:bookmarkEnd w:id="121"/>
    </w:p>
    <w:p w14:paraId="214A1CE4">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14:paraId="2E3B25C5">
      <w:pPr>
        <w:spacing w:line="480" w:lineRule="exact"/>
        <w:ind w:firstLine="640" w:firstLineChars="200"/>
        <w:outlineLvl w:val="0"/>
        <w:rPr>
          <w:rFonts w:hint="eastAsia" w:ascii="黑体" w:hAnsi="黑体" w:eastAsia="黑体"/>
          <w:b/>
          <w:bCs/>
          <w:color w:val="auto"/>
          <w:sz w:val="32"/>
          <w:szCs w:val="32"/>
          <w:lang w:eastAsia="zh-CN"/>
        </w:rPr>
      </w:pPr>
      <w:bookmarkStart w:id="122" w:name="_Toc8486"/>
      <w:bookmarkStart w:id="123" w:name="_Toc8835"/>
      <w:r>
        <w:rPr>
          <w:rFonts w:hint="eastAsia" w:ascii="黑体" w:hAnsi="黑体" w:eastAsia="黑体"/>
          <w:color w:val="auto"/>
          <w:sz w:val="32"/>
          <w:szCs w:val="32"/>
        </w:rPr>
        <w:t>十六、网上报名操作</w:t>
      </w:r>
      <w:bookmarkEnd w:id="122"/>
      <w:r>
        <w:rPr>
          <w:rFonts w:hint="eastAsia" w:ascii="黑体" w:hAnsi="黑体" w:eastAsia="黑体"/>
          <w:color w:val="auto"/>
          <w:sz w:val="32"/>
          <w:szCs w:val="32"/>
          <w:lang w:eastAsia="zh-CN"/>
        </w:rPr>
        <w:t>须知</w:t>
      </w:r>
      <w:bookmarkEnd w:id="123"/>
    </w:p>
    <w:p w14:paraId="4271E319">
      <w:pPr>
        <w:spacing w:line="480" w:lineRule="exact"/>
        <w:ind w:firstLine="640" w:firstLineChars="200"/>
        <w:rPr>
          <w:rFonts w:ascii="楷体_GB2312" w:hAnsi="楷体_GB2312" w:eastAsia="楷体_GB2312" w:cs="楷体_GB2312"/>
          <w:b/>
          <w:color w:val="auto"/>
          <w:kern w:val="0"/>
          <w:sz w:val="32"/>
          <w:szCs w:val="32"/>
        </w:rPr>
      </w:pPr>
      <w:r>
        <w:rPr>
          <w:rFonts w:hint="eastAsia" w:ascii="仿宋_GB2312" w:eastAsia="仿宋_GB2312"/>
          <w:color w:val="auto"/>
          <w:sz w:val="32"/>
          <w:szCs w:val="32"/>
        </w:rPr>
        <w:t>网上报名流程详细操作</w:t>
      </w:r>
      <w:r>
        <w:rPr>
          <w:rFonts w:hint="eastAsia" w:ascii="仿宋_GB2312" w:eastAsia="仿宋_GB2312"/>
          <w:color w:val="auto"/>
          <w:sz w:val="32"/>
          <w:szCs w:val="32"/>
          <w:lang w:eastAsia="zh-CN"/>
        </w:rPr>
        <w:t>须知</w:t>
      </w:r>
      <w:r>
        <w:rPr>
          <w:rFonts w:hint="eastAsia" w:ascii="仿宋_GB2312" w:eastAsia="仿宋_GB2312"/>
          <w:color w:val="auto"/>
          <w:sz w:val="32"/>
          <w:szCs w:val="32"/>
        </w:rPr>
        <w:t>请登录厦门市卫生健康事业单位招聘考试系统查看报名流程说明模块内容。</w:t>
      </w:r>
    </w:p>
    <w:sectPr>
      <w:footerReference r:id="rId3" w:type="default"/>
      <w:pgSz w:w="11906" w:h="16838"/>
      <w:pgMar w:top="1418" w:right="1474" w:bottom="141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C918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219AAD">
                          <w:pPr>
                            <w:pStyle w:val="6"/>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E219AAD">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CCCFE"/>
    <w:multiLevelType w:val="singleLevel"/>
    <w:tmpl w:val="B50CCCFE"/>
    <w:lvl w:ilvl="0" w:tentative="0">
      <w:start w:val="1"/>
      <w:numFmt w:val="chineseCounting"/>
      <w:suff w:val="nothing"/>
      <w:lvlText w:val="（%1）"/>
      <w:lvlJc w:val="left"/>
      <w:rPr>
        <w:rFonts w:hint="eastAsia" w:cs="Times New Roman"/>
      </w:rPr>
    </w:lvl>
  </w:abstractNum>
  <w:abstractNum w:abstractNumId="1">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4C3426"/>
    <w:rsid w:val="00120588"/>
    <w:rsid w:val="003448A0"/>
    <w:rsid w:val="00481C2A"/>
    <w:rsid w:val="004C3426"/>
    <w:rsid w:val="00623A1C"/>
    <w:rsid w:val="00CF25F8"/>
    <w:rsid w:val="00E143DD"/>
    <w:rsid w:val="01CC7CF9"/>
    <w:rsid w:val="02BA7D45"/>
    <w:rsid w:val="063616F8"/>
    <w:rsid w:val="066A4EB6"/>
    <w:rsid w:val="06800392"/>
    <w:rsid w:val="0730481F"/>
    <w:rsid w:val="0756597C"/>
    <w:rsid w:val="08AD1803"/>
    <w:rsid w:val="09EF4403"/>
    <w:rsid w:val="0B382CA9"/>
    <w:rsid w:val="0BCD5ABC"/>
    <w:rsid w:val="0BF07998"/>
    <w:rsid w:val="0F066628"/>
    <w:rsid w:val="106B1EF6"/>
    <w:rsid w:val="10D14D2C"/>
    <w:rsid w:val="111A4BA0"/>
    <w:rsid w:val="1345046A"/>
    <w:rsid w:val="155C4356"/>
    <w:rsid w:val="15AE0D56"/>
    <w:rsid w:val="16B7751E"/>
    <w:rsid w:val="16D21350"/>
    <w:rsid w:val="1976381F"/>
    <w:rsid w:val="19E44D37"/>
    <w:rsid w:val="1A207D38"/>
    <w:rsid w:val="1A345549"/>
    <w:rsid w:val="1AD433EB"/>
    <w:rsid w:val="1AE228A1"/>
    <w:rsid w:val="1B2913D8"/>
    <w:rsid w:val="1C707043"/>
    <w:rsid w:val="1D1075D0"/>
    <w:rsid w:val="1E9E4585"/>
    <w:rsid w:val="1F1D17FA"/>
    <w:rsid w:val="1FAB7BC3"/>
    <w:rsid w:val="1FF25AB5"/>
    <w:rsid w:val="1FFB4F35"/>
    <w:rsid w:val="235B16AA"/>
    <w:rsid w:val="2373013C"/>
    <w:rsid w:val="24366BB3"/>
    <w:rsid w:val="24A57B45"/>
    <w:rsid w:val="24C745BD"/>
    <w:rsid w:val="24EF2718"/>
    <w:rsid w:val="25494FD2"/>
    <w:rsid w:val="25987D07"/>
    <w:rsid w:val="261A4A92"/>
    <w:rsid w:val="26715B3D"/>
    <w:rsid w:val="27084A19"/>
    <w:rsid w:val="292875F4"/>
    <w:rsid w:val="29581C87"/>
    <w:rsid w:val="29F6FA38"/>
    <w:rsid w:val="2A77613D"/>
    <w:rsid w:val="2B2335A9"/>
    <w:rsid w:val="2B631DDB"/>
    <w:rsid w:val="2C673578"/>
    <w:rsid w:val="2D0B5F58"/>
    <w:rsid w:val="2D1D062D"/>
    <w:rsid w:val="2DF41384"/>
    <w:rsid w:val="2EFF4953"/>
    <w:rsid w:val="2FD5BE56"/>
    <w:rsid w:val="305B02AF"/>
    <w:rsid w:val="31001F67"/>
    <w:rsid w:val="31C921E8"/>
    <w:rsid w:val="31D2535D"/>
    <w:rsid w:val="33EF143A"/>
    <w:rsid w:val="3799BBE5"/>
    <w:rsid w:val="379F4F25"/>
    <w:rsid w:val="380A65D8"/>
    <w:rsid w:val="39F5243C"/>
    <w:rsid w:val="39F7B8CD"/>
    <w:rsid w:val="3A0C28A8"/>
    <w:rsid w:val="3A6231AA"/>
    <w:rsid w:val="3BA05290"/>
    <w:rsid w:val="3BFF8092"/>
    <w:rsid w:val="3C236FEC"/>
    <w:rsid w:val="3C571A06"/>
    <w:rsid w:val="3CD66A5B"/>
    <w:rsid w:val="3CE433F0"/>
    <w:rsid w:val="3CEA6C43"/>
    <w:rsid w:val="3D0A6D79"/>
    <w:rsid w:val="3D625F85"/>
    <w:rsid w:val="3DBFCA23"/>
    <w:rsid w:val="3E510064"/>
    <w:rsid w:val="3EAA1666"/>
    <w:rsid w:val="3EF20030"/>
    <w:rsid w:val="3F77E62C"/>
    <w:rsid w:val="3FB3371C"/>
    <w:rsid w:val="41593BCC"/>
    <w:rsid w:val="42677DFF"/>
    <w:rsid w:val="42B93F66"/>
    <w:rsid w:val="446158EE"/>
    <w:rsid w:val="44624237"/>
    <w:rsid w:val="44F61785"/>
    <w:rsid w:val="453D6895"/>
    <w:rsid w:val="46384747"/>
    <w:rsid w:val="46DD6BC6"/>
    <w:rsid w:val="47807468"/>
    <w:rsid w:val="47DB0CA5"/>
    <w:rsid w:val="4989333F"/>
    <w:rsid w:val="4C517D5A"/>
    <w:rsid w:val="4CE624E2"/>
    <w:rsid w:val="4DFC9A2D"/>
    <w:rsid w:val="4FEB3EDD"/>
    <w:rsid w:val="502B5524"/>
    <w:rsid w:val="50870823"/>
    <w:rsid w:val="50C446DF"/>
    <w:rsid w:val="51167BAE"/>
    <w:rsid w:val="511E4CB5"/>
    <w:rsid w:val="514C537E"/>
    <w:rsid w:val="54420E00"/>
    <w:rsid w:val="56D77ACF"/>
    <w:rsid w:val="56DA9D5E"/>
    <w:rsid w:val="56DF0377"/>
    <w:rsid w:val="580E02F4"/>
    <w:rsid w:val="58334940"/>
    <w:rsid w:val="58633A29"/>
    <w:rsid w:val="58FE17E2"/>
    <w:rsid w:val="59A02428"/>
    <w:rsid w:val="5A0A3C12"/>
    <w:rsid w:val="5A731328"/>
    <w:rsid w:val="5AAC1993"/>
    <w:rsid w:val="5C647AF9"/>
    <w:rsid w:val="5C930305"/>
    <w:rsid w:val="5CAE7301"/>
    <w:rsid w:val="5DCF92B3"/>
    <w:rsid w:val="5F8D5220"/>
    <w:rsid w:val="5FF7268F"/>
    <w:rsid w:val="62261C1B"/>
    <w:rsid w:val="63DBE70F"/>
    <w:rsid w:val="64903E67"/>
    <w:rsid w:val="649C0AAD"/>
    <w:rsid w:val="651B17E0"/>
    <w:rsid w:val="654E5711"/>
    <w:rsid w:val="66137EFA"/>
    <w:rsid w:val="679A706D"/>
    <w:rsid w:val="67FF9B84"/>
    <w:rsid w:val="6812193F"/>
    <w:rsid w:val="696A1062"/>
    <w:rsid w:val="69CA6AF2"/>
    <w:rsid w:val="69D313DD"/>
    <w:rsid w:val="69F7248A"/>
    <w:rsid w:val="6BF3D6EE"/>
    <w:rsid w:val="6BF6605B"/>
    <w:rsid w:val="6C010B21"/>
    <w:rsid w:val="6C4A16F3"/>
    <w:rsid w:val="6DFF3189"/>
    <w:rsid w:val="6FF203EC"/>
    <w:rsid w:val="70131A31"/>
    <w:rsid w:val="7018177F"/>
    <w:rsid w:val="70B52AE8"/>
    <w:rsid w:val="71456753"/>
    <w:rsid w:val="72FD0776"/>
    <w:rsid w:val="730E7C53"/>
    <w:rsid w:val="7456534C"/>
    <w:rsid w:val="745A5E80"/>
    <w:rsid w:val="74623D1E"/>
    <w:rsid w:val="74C72EF0"/>
    <w:rsid w:val="765FAE71"/>
    <w:rsid w:val="767C67B6"/>
    <w:rsid w:val="7706C44A"/>
    <w:rsid w:val="774D7EC0"/>
    <w:rsid w:val="77F043B5"/>
    <w:rsid w:val="77F318BF"/>
    <w:rsid w:val="77FF9981"/>
    <w:rsid w:val="78B5520C"/>
    <w:rsid w:val="78CE1E32"/>
    <w:rsid w:val="78F13B18"/>
    <w:rsid w:val="79921C19"/>
    <w:rsid w:val="7ACBD995"/>
    <w:rsid w:val="7AF90B2E"/>
    <w:rsid w:val="7B3F64C1"/>
    <w:rsid w:val="7B7F631C"/>
    <w:rsid w:val="7C6F8BDC"/>
    <w:rsid w:val="7CCB6981"/>
    <w:rsid w:val="7DD663A2"/>
    <w:rsid w:val="7E78FB93"/>
    <w:rsid w:val="7EBC7AAE"/>
    <w:rsid w:val="7ED52DCE"/>
    <w:rsid w:val="7EFFDB05"/>
    <w:rsid w:val="7F4000BE"/>
    <w:rsid w:val="7F45511F"/>
    <w:rsid w:val="7F967F89"/>
    <w:rsid w:val="7FB4286E"/>
    <w:rsid w:val="7FDEC6F7"/>
    <w:rsid w:val="86DBAE20"/>
    <w:rsid w:val="97F66B82"/>
    <w:rsid w:val="9BBF554F"/>
    <w:rsid w:val="B5FFB5BB"/>
    <w:rsid w:val="BBB39606"/>
    <w:rsid w:val="BD6F4D02"/>
    <w:rsid w:val="BF939356"/>
    <w:rsid w:val="BF9F84FA"/>
    <w:rsid w:val="BFBEFC55"/>
    <w:rsid w:val="C6B9B3CB"/>
    <w:rsid w:val="C7FF9354"/>
    <w:rsid w:val="CBF5CDC2"/>
    <w:rsid w:val="CF4DB148"/>
    <w:rsid w:val="CFBDB8C5"/>
    <w:rsid w:val="CFBF3217"/>
    <w:rsid w:val="D77F7D95"/>
    <w:rsid w:val="DC4B4106"/>
    <w:rsid w:val="DCBF0B49"/>
    <w:rsid w:val="DE70752C"/>
    <w:rsid w:val="DF6F4B25"/>
    <w:rsid w:val="DF9F3555"/>
    <w:rsid w:val="DFF3DF19"/>
    <w:rsid w:val="E725000E"/>
    <w:rsid w:val="E76D16F3"/>
    <w:rsid w:val="E76F0DDB"/>
    <w:rsid w:val="E7DB4586"/>
    <w:rsid w:val="EE7D9113"/>
    <w:rsid w:val="EF7F92C8"/>
    <w:rsid w:val="EF7F9FAE"/>
    <w:rsid w:val="EFDB7ABC"/>
    <w:rsid w:val="EFF72EBE"/>
    <w:rsid w:val="EFF762A2"/>
    <w:rsid w:val="F5DF8426"/>
    <w:rsid w:val="F7D72CDC"/>
    <w:rsid w:val="F8EF0197"/>
    <w:rsid w:val="F9F57D7E"/>
    <w:rsid w:val="FA7EFF4E"/>
    <w:rsid w:val="FB64D701"/>
    <w:rsid w:val="FEFF0285"/>
    <w:rsid w:val="FF8D6A57"/>
    <w:rsid w:val="FF9EB03A"/>
    <w:rsid w:val="FFF7C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99"/>
    <w:pPr>
      <w:keepNext/>
      <w:keepLines/>
      <w:spacing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99"/>
    <w:pPr>
      <w:jc w:val="left"/>
    </w:pPr>
  </w:style>
  <w:style w:type="paragraph" w:styleId="4">
    <w:name w:val="toc 3"/>
    <w:basedOn w:val="1"/>
    <w:next w:val="1"/>
    <w:qFormat/>
    <w:locked/>
    <w:uiPriority w:val="0"/>
    <w:pPr>
      <w:ind w:left="840" w:leftChars="400"/>
    </w:pPr>
  </w:style>
  <w:style w:type="paragraph" w:styleId="5">
    <w:name w:val="Balloon Text"/>
    <w:basedOn w:val="1"/>
    <w:link w:val="19"/>
    <w:semiHidden/>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semiHidden/>
    <w:unhideWhenUsed/>
    <w:qFormat/>
    <w:uiPriority w:val="99"/>
    <w:pPr>
      <w:spacing w:before="100" w:beforeAutospacing="1" w:after="100" w:afterAutospacing="1"/>
      <w:jc w:val="left"/>
    </w:pPr>
    <w:rPr>
      <w:kern w:val="0"/>
      <w:sz w:val="24"/>
    </w:rPr>
  </w:style>
  <w:style w:type="character" w:styleId="13">
    <w:name w:val="Hyperlink"/>
    <w:qFormat/>
    <w:uiPriority w:val="99"/>
    <w:rPr>
      <w:rFonts w:cs="Times New Roman"/>
      <w:color w:val="0000FF"/>
      <w:u w:val="single"/>
    </w:rPr>
  </w:style>
  <w:style w:type="character" w:styleId="14">
    <w:name w:val="annotation reference"/>
    <w:semiHidden/>
    <w:qFormat/>
    <w:uiPriority w:val="99"/>
    <w:rPr>
      <w:rFonts w:cs="Times New Roman"/>
      <w:sz w:val="21"/>
      <w:szCs w:val="21"/>
    </w:rPr>
  </w:style>
  <w:style w:type="paragraph" w:customStyle="1" w:styleId="15">
    <w:name w:val="WPSOffice手动目录 1"/>
    <w:qFormat/>
    <w:uiPriority w:val="99"/>
    <w:rPr>
      <w:rFonts w:ascii="Times New Roman" w:hAnsi="Times New Roman" w:eastAsia="宋体" w:cs="Times New Roman"/>
      <w:lang w:val="en-US" w:eastAsia="zh-CN" w:bidi="ar-SA"/>
    </w:rPr>
  </w:style>
  <w:style w:type="paragraph" w:customStyle="1" w:styleId="16">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7">
    <w:name w:val="列出段落1"/>
    <w:basedOn w:val="1"/>
    <w:qFormat/>
    <w:uiPriority w:val="99"/>
    <w:pPr>
      <w:ind w:firstLine="420" w:firstLineChars="200"/>
    </w:pPr>
  </w:style>
  <w:style w:type="character" w:customStyle="1" w:styleId="18">
    <w:name w:val="批注文字 Char"/>
    <w:link w:val="3"/>
    <w:qFormat/>
    <w:uiPriority w:val="99"/>
    <w:rPr>
      <w:rFonts w:cs="Times New Roman"/>
    </w:rPr>
  </w:style>
  <w:style w:type="character" w:customStyle="1" w:styleId="19">
    <w:name w:val="批注框文本 Char"/>
    <w:link w:val="5"/>
    <w:qFormat/>
    <w:uiPriority w:val="99"/>
    <w:rPr>
      <w:rFonts w:cs="Times New Roman"/>
      <w:sz w:val="2"/>
    </w:rPr>
  </w:style>
  <w:style w:type="character" w:customStyle="1" w:styleId="20">
    <w:name w:val="页脚 Char"/>
    <w:link w:val="6"/>
    <w:qFormat/>
    <w:uiPriority w:val="99"/>
    <w:rPr>
      <w:rFonts w:cs="Times New Roman"/>
      <w:sz w:val="18"/>
      <w:szCs w:val="18"/>
    </w:rPr>
  </w:style>
  <w:style w:type="character" w:customStyle="1" w:styleId="21">
    <w:name w:val="页眉 Char"/>
    <w:link w:val="7"/>
    <w:qFormat/>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9770</Words>
  <Characters>10117</Characters>
  <Lines>87</Lines>
  <Paragraphs>24</Paragraphs>
  <TotalTime>9</TotalTime>
  <ScaleCrop>false</ScaleCrop>
  <LinksUpToDate>false</LinksUpToDate>
  <CharactersWithSpaces>10221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2020-09-07T22:53:00Z</dcterms:created>
  <dc:creator>dell</dc:creator>
  <cp:lastModifiedBy>Aquarius</cp:lastModifiedBy>
  <cp:lastPrinted>2025-10-17T17:38:00Z</cp:lastPrinted>
  <dcterms:modified xsi:type="dcterms:W3CDTF">2025-10-17T00:47:37Z</dcterms:modified>
  <dc:title>附件1：厦门市同安区所属卫生事业单位</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430CC5D1DDB1CCD3FB250469427E10E2</vt:lpwstr>
  </property>
  <property fmtid="{D5CDD505-2E9C-101B-9397-08002B2CF9AE}" pid="4" name="KSOTemplateDocerSaveRecord">
    <vt:lpwstr>eyJoZGlkIjoiMzVhYTUxN2EzNDJhMmIxZjA3YWM3MDg0OGNlZjlmMDEiLCJ1c2VySWQiOiI1OTc0MDkzODYifQ==</vt:lpwstr>
  </property>
</Properties>
</file>