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left"/>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附件1</w:t>
      </w:r>
    </w:p>
    <w:p>
      <w:pPr>
        <w:pStyle w:val="7"/>
        <w:ind w:left="0" w:leftChars="0" w:firstLine="0" w:firstLineChars="0"/>
        <w:jc w:val="center"/>
        <w:rPr>
          <w:rFonts w:hint="default" w:ascii="Times New Roman" w:hAnsi="Times New Roman" w:eastAsia="方正小标宋简体" w:cs="Times New Roman"/>
          <w:bCs/>
          <w:color w:val="auto"/>
          <w:sz w:val="40"/>
          <w:szCs w:val="40"/>
          <w:lang w:val="en-US" w:eastAsia="zh-CN"/>
        </w:rPr>
      </w:pPr>
      <w:r>
        <w:rPr>
          <w:rFonts w:hint="default" w:ascii="Times New Roman" w:hAnsi="Times New Roman" w:eastAsia="方正小标宋简体" w:cs="Times New Roman"/>
          <w:bCs/>
          <w:color w:val="auto"/>
          <w:sz w:val="40"/>
          <w:szCs w:val="40"/>
          <w:lang w:val="en-US" w:eastAsia="zh-CN"/>
        </w:rPr>
        <w:t>衢州市直属学校</w:t>
      </w:r>
      <w:r>
        <w:rPr>
          <w:rFonts w:hint="eastAsia" w:ascii="Times New Roman" w:hAnsi="Times New Roman" w:eastAsia="方正小标宋简体" w:cs="Times New Roman"/>
          <w:bCs/>
          <w:color w:val="auto"/>
          <w:sz w:val="40"/>
          <w:szCs w:val="40"/>
          <w:lang w:val="en-US" w:eastAsia="zh-CN"/>
        </w:rPr>
        <w:t>公开</w:t>
      </w:r>
      <w:r>
        <w:rPr>
          <w:rFonts w:hint="default" w:ascii="Times New Roman" w:hAnsi="Times New Roman" w:eastAsia="方正小标宋简体" w:cs="Times New Roman"/>
          <w:bCs/>
          <w:color w:val="auto"/>
          <w:sz w:val="40"/>
          <w:szCs w:val="40"/>
          <w:lang w:val="en-US" w:eastAsia="zh-CN"/>
        </w:rPr>
        <w:t>招聘2026年事业编制体育教练员计划表</w:t>
      </w:r>
    </w:p>
    <w:p>
      <w:pPr>
        <w:rPr>
          <w:rFonts w:hint="default" w:ascii="Times New Roman" w:hAnsi="Times New Roman" w:cs="Times New Roman"/>
          <w:color w:val="auto"/>
        </w:rPr>
      </w:pPr>
    </w:p>
    <w:tbl>
      <w:tblPr>
        <w:tblStyle w:val="12"/>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082"/>
        <w:gridCol w:w="885"/>
        <w:gridCol w:w="705"/>
        <w:gridCol w:w="900"/>
        <w:gridCol w:w="795"/>
        <w:gridCol w:w="795"/>
        <w:gridCol w:w="4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66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auto"/>
                <w:sz w:val="24"/>
                <w:szCs w:val="24"/>
                <w:u w:val="none"/>
              </w:rPr>
            </w:pPr>
            <w:r>
              <w:rPr>
                <w:rFonts w:hint="default" w:ascii="Times New Roman" w:hAnsi="Times New Roman" w:eastAsia="仿宋_GB2312" w:cs="Times New Roman"/>
                <w:b/>
                <w:i w:val="0"/>
                <w:color w:val="auto"/>
                <w:kern w:val="0"/>
                <w:sz w:val="24"/>
                <w:szCs w:val="24"/>
                <w:u w:val="none"/>
                <w:lang w:val="en-US" w:eastAsia="zh-CN" w:bidi="ar"/>
              </w:rPr>
              <w:t>序号</w:t>
            </w:r>
          </w:p>
        </w:tc>
        <w:tc>
          <w:tcPr>
            <w:tcW w:w="108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auto"/>
                <w:sz w:val="24"/>
                <w:szCs w:val="24"/>
                <w:u w:val="none"/>
              </w:rPr>
            </w:pPr>
            <w:r>
              <w:rPr>
                <w:rFonts w:hint="default" w:ascii="Times New Roman" w:hAnsi="Times New Roman" w:eastAsia="仿宋_GB2312" w:cs="Times New Roman"/>
                <w:b/>
                <w:i w:val="0"/>
                <w:color w:val="auto"/>
                <w:kern w:val="0"/>
                <w:sz w:val="24"/>
                <w:szCs w:val="24"/>
                <w:u w:val="none"/>
                <w:lang w:val="en-US" w:eastAsia="zh-CN" w:bidi="ar"/>
              </w:rPr>
              <w:t>招聘单位名称</w:t>
            </w:r>
          </w:p>
        </w:tc>
        <w:tc>
          <w:tcPr>
            <w:tcW w:w="88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auto"/>
                <w:kern w:val="0"/>
                <w:sz w:val="24"/>
                <w:szCs w:val="24"/>
                <w:u w:val="none"/>
                <w:lang w:val="en-US" w:eastAsia="zh-CN" w:bidi="ar"/>
              </w:rPr>
            </w:pPr>
            <w:r>
              <w:rPr>
                <w:rFonts w:hint="default" w:ascii="Times New Roman" w:hAnsi="Times New Roman" w:eastAsia="仿宋_GB2312" w:cs="Times New Roman"/>
                <w:b/>
                <w:i w:val="0"/>
                <w:color w:val="auto"/>
                <w:kern w:val="0"/>
                <w:sz w:val="24"/>
                <w:szCs w:val="24"/>
                <w:u w:val="none"/>
                <w:lang w:val="en-US" w:eastAsia="zh-CN" w:bidi="ar"/>
              </w:rPr>
              <w:t>岗位</w:t>
            </w:r>
          </w:p>
          <w:p>
            <w:pPr>
              <w:keepNext w:val="0"/>
              <w:keepLines w:val="0"/>
              <w:widowControl/>
              <w:suppressLineNumbers w:val="0"/>
              <w:jc w:val="center"/>
              <w:textAlignment w:val="center"/>
              <w:rPr>
                <w:rFonts w:hint="default" w:ascii="Times New Roman" w:hAnsi="Times New Roman" w:eastAsia="仿宋_GB2312" w:cs="Times New Roman"/>
                <w:b/>
                <w:i w:val="0"/>
                <w:color w:val="auto"/>
                <w:sz w:val="24"/>
                <w:szCs w:val="24"/>
                <w:u w:val="none"/>
              </w:rPr>
            </w:pPr>
            <w:r>
              <w:rPr>
                <w:rFonts w:hint="default" w:ascii="Times New Roman" w:hAnsi="Times New Roman" w:eastAsia="仿宋_GB2312" w:cs="Times New Roman"/>
                <w:b/>
                <w:i w:val="0"/>
                <w:color w:val="auto"/>
                <w:kern w:val="0"/>
                <w:sz w:val="24"/>
                <w:szCs w:val="24"/>
                <w:u w:val="none"/>
                <w:lang w:val="en-US" w:eastAsia="zh-CN" w:bidi="ar"/>
              </w:rPr>
              <w:t>名称</w:t>
            </w:r>
          </w:p>
        </w:tc>
        <w:tc>
          <w:tcPr>
            <w:tcW w:w="70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auto"/>
                <w:sz w:val="24"/>
                <w:szCs w:val="24"/>
                <w:highlight w:val="none"/>
                <w:u w:val="none"/>
              </w:rPr>
            </w:pPr>
            <w:r>
              <w:rPr>
                <w:rFonts w:hint="default" w:ascii="Times New Roman" w:hAnsi="Times New Roman" w:eastAsia="仿宋_GB2312" w:cs="Times New Roman"/>
                <w:b/>
                <w:i w:val="0"/>
                <w:color w:val="auto"/>
                <w:kern w:val="0"/>
                <w:sz w:val="24"/>
                <w:szCs w:val="24"/>
                <w:highlight w:val="none"/>
                <w:u w:val="none"/>
                <w:lang w:val="en-US" w:eastAsia="zh-CN" w:bidi="ar"/>
              </w:rPr>
              <w:t>需求人数</w:t>
            </w:r>
          </w:p>
        </w:tc>
        <w:tc>
          <w:tcPr>
            <w:tcW w:w="90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auto"/>
                <w:sz w:val="24"/>
                <w:szCs w:val="24"/>
                <w:u w:val="none"/>
              </w:rPr>
            </w:pPr>
            <w:r>
              <w:rPr>
                <w:rFonts w:hint="default" w:ascii="Times New Roman" w:hAnsi="Times New Roman" w:eastAsia="仿宋_GB2312" w:cs="Times New Roman"/>
                <w:b/>
                <w:i w:val="0"/>
                <w:color w:val="auto"/>
                <w:kern w:val="0"/>
                <w:sz w:val="24"/>
                <w:szCs w:val="24"/>
                <w:u w:val="none"/>
                <w:lang w:val="en-US" w:eastAsia="zh-CN" w:bidi="ar"/>
              </w:rPr>
              <w:t>学历要求</w:t>
            </w:r>
          </w:p>
        </w:tc>
        <w:tc>
          <w:tcPr>
            <w:tcW w:w="79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auto"/>
                <w:kern w:val="0"/>
                <w:sz w:val="24"/>
                <w:szCs w:val="24"/>
                <w:highlight w:val="none"/>
                <w:u w:val="none"/>
                <w:lang w:val="en-US" w:eastAsia="zh-CN" w:bidi="ar"/>
              </w:rPr>
            </w:pPr>
            <w:r>
              <w:rPr>
                <w:rFonts w:hint="default" w:ascii="Times New Roman" w:hAnsi="Times New Roman" w:eastAsia="仿宋_GB2312" w:cs="Times New Roman"/>
                <w:b/>
                <w:i w:val="0"/>
                <w:color w:val="auto"/>
                <w:kern w:val="0"/>
                <w:sz w:val="24"/>
                <w:szCs w:val="24"/>
                <w:highlight w:val="none"/>
                <w:u w:val="none"/>
                <w:lang w:val="en-US" w:eastAsia="zh-CN" w:bidi="ar"/>
              </w:rPr>
              <w:t>年龄要求</w:t>
            </w:r>
          </w:p>
        </w:tc>
        <w:tc>
          <w:tcPr>
            <w:tcW w:w="79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auto"/>
                <w:sz w:val="24"/>
                <w:szCs w:val="24"/>
                <w:highlight w:val="none"/>
                <w:u w:val="none"/>
              </w:rPr>
            </w:pPr>
            <w:r>
              <w:rPr>
                <w:rFonts w:hint="default" w:ascii="Times New Roman" w:hAnsi="Times New Roman" w:eastAsia="仿宋_GB2312" w:cs="Times New Roman"/>
                <w:b/>
                <w:i w:val="0"/>
                <w:color w:val="auto"/>
                <w:kern w:val="0"/>
                <w:sz w:val="24"/>
                <w:szCs w:val="24"/>
                <w:highlight w:val="none"/>
                <w:u w:val="none"/>
                <w:lang w:val="en-US" w:eastAsia="zh-CN" w:bidi="ar"/>
              </w:rPr>
              <w:t>专业要求</w:t>
            </w:r>
          </w:p>
        </w:tc>
        <w:tc>
          <w:tcPr>
            <w:tcW w:w="402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auto"/>
                <w:kern w:val="0"/>
                <w:sz w:val="24"/>
                <w:szCs w:val="24"/>
                <w:u w:val="none"/>
                <w:lang w:val="en-US" w:eastAsia="zh-CN" w:bidi="ar"/>
              </w:rPr>
            </w:pPr>
            <w:r>
              <w:rPr>
                <w:rFonts w:hint="default" w:ascii="Times New Roman" w:hAnsi="Times New Roman" w:eastAsia="仿宋_GB2312" w:cs="Times New Roman"/>
                <w:b/>
                <w:i w:val="0"/>
                <w:color w:val="auto"/>
                <w:kern w:val="0"/>
                <w:sz w:val="24"/>
                <w:szCs w:val="24"/>
                <w:u w:val="none"/>
                <w:lang w:val="en-US" w:eastAsia="zh-CN" w:bidi="ar"/>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66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color w:val="auto"/>
                <w:kern w:val="0"/>
                <w:sz w:val="24"/>
                <w:szCs w:val="24"/>
                <w:u w:val="none"/>
                <w:lang w:val="en-US" w:eastAsia="zh-CN" w:bidi="ar"/>
              </w:rPr>
            </w:pPr>
            <w:r>
              <w:rPr>
                <w:rFonts w:hint="default" w:ascii="Times New Roman" w:hAnsi="Times New Roman" w:eastAsia="仿宋_GB2312" w:cs="Times New Roman"/>
                <w:b w:val="0"/>
                <w:bCs/>
                <w:i w:val="0"/>
                <w:color w:val="auto"/>
                <w:kern w:val="0"/>
                <w:sz w:val="24"/>
                <w:szCs w:val="24"/>
                <w:u w:val="none"/>
                <w:lang w:val="en-US" w:eastAsia="zh-CN" w:bidi="ar"/>
              </w:rPr>
              <w:t>1</w:t>
            </w:r>
          </w:p>
        </w:tc>
        <w:tc>
          <w:tcPr>
            <w:tcW w:w="1082" w:type="dxa"/>
            <w:noWrap w:val="0"/>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仿宋_GB2312" w:cs="Times New Roman"/>
                <w:b w:val="0"/>
                <w:bCs/>
                <w:i w:val="0"/>
                <w:color w:val="auto"/>
                <w:kern w:val="0"/>
                <w:sz w:val="24"/>
                <w:szCs w:val="24"/>
                <w:highlight w:val="none"/>
                <w:u w:val="none"/>
                <w:lang w:val="en-US" w:eastAsia="zh-CN" w:bidi="ar"/>
              </w:rPr>
            </w:pPr>
            <w:r>
              <w:rPr>
                <w:rFonts w:hint="default" w:ascii="Times New Roman" w:hAnsi="Times New Roman" w:eastAsia="仿宋_GB2312" w:cs="Times New Roman"/>
                <w:b w:val="0"/>
                <w:bCs/>
                <w:i w:val="0"/>
                <w:color w:val="auto"/>
                <w:kern w:val="0"/>
                <w:sz w:val="24"/>
                <w:szCs w:val="24"/>
                <w:highlight w:val="none"/>
                <w:u w:val="none"/>
                <w:lang w:val="en-US" w:eastAsia="zh-CN" w:bidi="ar"/>
              </w:rPr>
              <w:t>衢州市教育局直属学校</w:t>
            </w:r>
          </w:p>
        </w:tc>
        <w:tc>
          <w:tcPr>
            <w:tcW w:w="885" w:type="dxa"/>
            <w:noWrap w:val="0"/>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仿宋_GB2312" w:cs="Times New Roman"/>
                <w:b w:val="0"/>
                <w:bCs/>
                <w:i w:val="0"/>
                <w:color w:val="auto"/>
                <w:kern w:val="0"/>
                <w:sz w:val="24"/>
                <w:szCs w:val="24"/>
                <w:highlight w:val="none"/>
                <w:u w:val="none"/>
                <w:lang w:val="en-US" w:eastAsia="zh-CN" w:bidi="ar"/>
              </w:rPr>
            </w:pPr>
            <w:r>
              <w:rPr>
                <w:rFonts w:hint="default" w:ascii="Times New Roman" w:hAnsi="Times New Roman" w:eastAsia="仿宋_GB2312" w:cs="Times New Roman"/>
                <w:b w:val="0"/>
                <w:bCs/>
                <w:i w:val="0"/>
                <w:color w:val="auto"/>
                <w:kern w:val="0"/>
                <w:sz w:val="24"/>
                <w:szCs w:val="24"/>
                <w:highlight w:val="none"/>
                <w:u w:val="none"/>
                <w:lang w:val="en-US" w:eastAsia="zh-CN" w:bidi="ar"/>
              </w:rPr>
              <w:t>田径、游泳、三大球、乒乓球、羽毛球、拳击、自行车等全运会竞技体育项目教练员</w:t>
            </w:r>
          </w:p>
        </w:tc>
        <w:tc>
          <w:tcPr>
            <w:tcW w:w="705" w:type="dxa"/>
            <w:noWrap w:val="0"/>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仿宋_GB2312" w:cs="Times New Roman"/>
                <w:b w:val="0"/>
                <w:bCs/>
                <w:i w:val="0"/>
                <w:color w:val="auto"/>
                <w:kern w:val="0"/>
                <w:sz w:val="24"/>
                <w:szCs w:val="24"/>
                <w:highlight w:val="none"/>
                <w:u w:val="none"/>
                <w:lang w:val="en-US" w:eastAsia="zh-CN" w:bidi="ar"/>
              </w:rPr>
            </w:pPr>
            <w:r>
              <w:rPr>
                <w:rFonts w:hint="eastAsia" w:ascii="Times New Roman" w:hAnsi="Times New Roman" w:eastAsia="仿宋_GB2312" w:cs="Times New Roman"/>
                <w:b w:val="0"/>
                <w:bCs/>
                <w:i w:val="0"/>
                <w:color w:val="auto"/>
                <w:kern w:val="0"/>
                <w:sz w:val="24"/>
                <w:szCs w:val="24"/>
                <w:highlight w:val="none"/>
                <w:u w:val="none"/>
                <w:lang w:val="en-US" w:eastAsia="zh-CN" w:bidi="ar"/>
              </w:rPr>
              <w:t>4</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仿宋_GB2312" w:cs="Times New Roman"/>
                <w:b w:val="0"/>
                <w:bCs/>
                <w:i w:val="0"/>
                <w:color w:val="auto"/>
                <w:kern w:val="0"/>
                <w:sz w:val="24"/>
                <w:szCs w:val="24"/>
                <w:highlight w:val="none"/>
                <w:u w:val="none"/>
                <w:lang w:val="en-US" w:eastAsia="zh-CN" w:bidi="ar"/>
              </w:rPr>
            </w:pPr>
            <w:r>
              <w:rPr>
                <w:rFonts w:hint="default" w:ascii="Times New Roman" w:hAnsi="Times New Roman" w:eastAsia="仿宋_GB2312" w:cs="Times New Roman"/>
                <w:b w:val="0"/>
                <w:bCs/>
                <w:i w:val="0"/>
                <w:color w:val="auto"/>
                <w:sz w:val="24"/>
                <w:szCs w:val="24"/>
                <w:highlight w:val="none"/>
                <w:u w:val="none"/>
                <w:lang w:val="en-US" w:eastAsia="zh-CN"/>
              </w:rPr>
              <w:t>本科及以上</w:t>
            </w:r>
          </w:p>
        </w:tc>
        <w:tc>
          <w:tcPr>
            <w:tcW w:w="795" w:type="dxa"/>
            <w:noWrap w:val="0"/>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仿宋_GB2312" w:cs="Times New Roman"/>
                <w:b w:val="0"/>
                <w:bCs/>
                <w:i w:val="0"/>
                <w:color w:val="auto"/>
                <w:kern w:val="0"/>
                <w:sz w:val="24"/>
                <w:szCs w:val="24"/>
                <w:highlight w:val="none"/>
                <w:u w:val="none"/>
                <w:lang w:val="en-US" w:eastAsia="zh-CN" w:bidi="ar"/>
              </w:rPr>
            </w:pPr>
            <w:r>
              <w:rPr>
                <w:rFonts w:hint="default" w:ascii="Times New Roman" w:hAnsi="Times New Roman" w:eastAsia="仿宋_GB2312" w:cs="Times New Roman"/>
                <w:b w:val="0"/>
                <w:bCs/>
                <w:i w:val="0"/>
                <w:color w:val="auto"/>
                <w:kern w:val="0"/>
                <w:sz w:val="24"/>
                <w:szCs w:val="24"/>
                <w:highlight w:val="none"/>
                <w:u w:val="none"/>
                <w:lang w:val="en-US" w:eastAsia="zh-CN" w:bidi="ar"/>
              </w:rPr>
              <w:t>38周岁及以下</w:t>
            </w:r>
          </w:p>
        </w:tc>
        <w:tc>
          <w:tcPr>
            <w:tcW w:w="795" w:type="dxa"/>
            <w:noWrap w:val="0"/>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Times New Roman" w:hAnsi="Times New Roman" w:eastAsia="仿宋_GB2312" w:cs="Times New Roman"/>
                <w:b w:val="0"/>
                <w:bCs/>
                <w:i w:val="0"/>
                <w:color w:val="auto"/>
                <w:kern w:val="0"/>
                <w:sz w:val="24"/>
                <w:szCs w:val="24"/>
                <w:highlight w:val="none"/>
                <w:u w:val="none"/>
                <w:lang w:val="en-US" w:eastAsia="zh-CN" w:bidi="ar"/>
              </w:rPr>
            </w:pPr>
            <w:r>
              <w:rPr>
                <w:rFonts w:hint="default" w:ascii="Times New Roman" w:hAnsi="Times New Roman" w:eastAsia="仿宋_GB2312" w:cs="Times New Roman"/>
                <w:b w:val="0"/>
                <w:bCs/>
                <w:i w:val="0"/>
                <w:color w:val="auto"/>
                <w:kern w:val="0"/>
                <w:sz w:val="24"/>
                <w:szCs w:val="24"/>
                <w:highlight w:val="none"/>
                <w:u w:val="none"/>
                <w:lang w:val="en-US" w:eastAsia="zh-CN" w:bidi="ar"/>
              </w:rPr>
              <w:t>体育学类</w:t>
            </w:r>
          </w:p>
        </w:tc>
        <w:tc>
          <w:tcPr>
            <w:tcW w:w="4020" w:type="dxa"/>
            <w:noWrap w:val="0"/>
            <w:vAlign w:val="center"/>
          </w:tcPr>
          <w:p>
            <w:pPr>
              <w:pStyle w:val="4"/>
              <w:keepNext w:val="0"/>
              <w:keepLines w:val="0"/>
              <w:pageBreakBefore w:val="0"/>
              <w:widowControl w:val="0"/>
              <w:kinsoku/>
              <w:wordWrap/>
              <w:overflowPunct/>
              <w:topLinePunct w:val="0"/>
              <w:autoSpaceDE/>
              <w:autoSpaceDN/>
              <w:bidi w:val="0"/>
              <w:adjustRightInd/>
              <w:snapToGrid/>
              <w:spacing w:after="0" w:line="220" w:lineRule="exact"/>
              <w:ind w:firstLine="0" w:firstLineChars="0"/>
              <w:textAlignment w:val="auto"/>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lang w:val="en-US" w:eastAsia="zh-CN"/>
              </w:rPr>
              <w:t>应聘者还需要符合下列条件之一：</w:t>
            </w:r>
          </w:p>
          <w:p>
            <w:pPr>
              <w:pStyle w:val="4"/>
              <w:keepNext w:val="0"/>
              <w:keepLines w:val="0"/>
              <w:pageBreakBefore w:val="0"/>
              <w:widowControl w:val="0"/>
              <w:kinsoku/>
              <w:wordWrap/>
              <w:overflowPunct/>
              <w:topLinePunct w:val="0"/>
              <w:autoSpaceDE/>
              <w:autoSpaceDN/>
              <w:bidi w:val="0"/>
              <w:adjustRightInd/>
              <w:snapToGrid/>
              <w:spacing w:after="0" w:line="220" w:lineRule="exact"/>
              <w:ind w:firstLine="0" w:firstLineChars="0"/>
              <w:textAlignment w:val="auto"/>
              <w:rPr>
                <w:rFonts w:hint="eastAsia"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lang w:val="en-US" w:eastAsia="zh-CN"/>
              </w:rPr>
              <w:t>①曾被浙江省运动队正式招工3年及以上，运动成绩达到一级运动员及以上标准或代表浙江省参加全运会决赛阶段比赛的省队市办、社会办、高校、解放军（双计分）的运动员，并经原招工单位审核正式退役且退役后尚未被安置到事业单位的优秀运动员</w:t>
            </w:r>
            <w:r>
              <w:rPr>
                <w:rFonts w:hint="eastAsia" w:ascii="Times New Roman" w:hAnsi="Times New Roman" w:eastAsia="仿宋_GB2312" w:cs="Times New Roman"/>
                <w:color w:val="auto"/>
                <w:sz w:val="18"/>
                <w:szCs w:val="18"/>
                <w:highlight w:val="none"/>
                <w:lang w:val="en-US" w:eastAsia="zh-CN"/>
              </w:rPr>
              <w:t>;</w:t>
            </w:r>
          </w:p>
          <w:p>
            <w:pPr>
              <w:pStyle w:val="4"/>
              <w:keepNext w:val="0"/>
              <w:keepLines w:val="0"/>
              <w:pageBreakBefore w:val="0"/>
              <w:widowControl w:val="0"/>
              <w:kinsoku/>
              <w:wordWrap/>
              <w:overflowPunct/>
              <w:topLinePunct w:val="0"/>
              <w:autoSpaceDE/>
              <w:autoSpaceDN/>
              <w:bidi w:val="0"/>
              <w:adjustRightInd/>
              <w:snapToGrid/>
              <w:spacing w:after="0" w:line="220" w:lineRule="exact"/>
              <w:ind w:firstLine="0" w:firstLineChars="0"/>
              <w:textAlignment w:val="auto"/>
              <w:rPr>
                <w:rFonts w:hint="default" w:ascii="Times New Roman" w:hAnsi="Times New Roman" w:eastAsia="仿宋_GB2312" w:cs="Times New Roman"/>
                <w:b/>
                <w:i w:val="0"/>
                <w:color w:val="auto"/>
                <w:kern w:val="0"/>
                <w:sz w:val="24"/>
                <w:szCs w:val="24"/>
                <w:highlight w:val="none"/>
                <w:u w:val="none"/>
                <w:lang w:val="en-US" w:eastAsia="zh-CN" w:bidi="ar"/>
              </w:rPr>
            </w:pPr>
            <w:r>
              <w:rPr>
                <w:rFonts w:hint="default" w:ascii="Times New Roman" w:hAnsi="Times New Roman" w:eastAsia="仿宋_GB2312" w:cs="Times New Roman"/>
                <w:color w:val="auto"/>
                <w:sz w:val="18"/>
                <w:szCs w:val="18"/>
                <w:highlight w:val="none"/>
                <w:lang w:val="en-US" w:eastAsia="zh-CN"/>
              </w:rPr>
              <w:t>②其他符合《衢州市竞技体育人才分类目录》G类及以上条件的教练员、运动员，即：A类，劳伦斯世界体育奖获得者；B类，奥运会金牌教练员、运动员；C类，奥运会奖牌和奥运项目世锦赛、世界杯金牌（集体项目前三名）教练员、运动员；D类，奥运项目世锦赛和世界杯奖牌（集体项目四至六名）教练员、运动员；E类，奥运项目亚运会和全运会金牌（集体项目前三名）教练员、运动员；F类，奥运项目亚运会和全运会奖牌（集体项目四至六名）教练员、运动员，国际健将级运动员，国家级体育教练员；G类，具有国家队执教经历的教练员（指在国家队担任主教练一年以上或助教三年以上），奥运项目亚锦赛、青奥会、世青赛、亚青赛金牌教练员、运动员，培养过奥运会、世锦赛、世界杯、亚运会、全运会金牌运动员的启蒙教练员（为主带训三年以上的运动员输送后三年内获得奥运会、世锦赛、世界杯、亚运会、全运会金牌）；或经认定相当于上述层次的人才。</w:t>
            </w:r>
          </w:p>
        </w:tc>
      </w:tr>
    </w:tbl>
    <w:p>
      <w:pPr>
        <w:pStyle w:val="6"/>
        <w:rPr>
          <w:rFonts w:hint="default" w:ascii="Times New Roman" w:hAnsi="Times New Roman" w:cs="Times New Roman"/>
          <w:color w:val="auto"/>
        </w:rPr>
      </w:pPr>
    </w:p>
    <w:p>
      <w:pPr>
        <w:pStyle w:val="7"/>
        <w:rPr>
          <w:rFonts w:hint="default" w:ascii="Times New Roman" w:hAnsi="Times New Roman" w:cs="Times New Roman"/>
          <w:color w:val="auto"/>
        </w:rPr>
      </w:pPr>
    </w:p>
    <w:p>
      <w:pPr>
        <w:pStyle w:val="4"/>
        <w:rPr>
          <w:rFonts w:hint="default" w:ascii="Times New Roman" w:hAnsi="Times New Roman" w:cs="Times New Roman"/>
          <w:color w:val="auto"/>
        </w:rPr>
      </w:pPr>
    </w:p>
    <w:p>
      <w:pPr>
        <w:pStyle w:val="5"/>
        <w:rPr>
          <w:rFonts w:hint="default" w:ascii="Times New Roman" w:hAnsi="Times New Roman" w:cs="Times New Roman"/>
          <w:color w:val="auto"/>
        </w:rPr>
      </w:pPr>
    </w:p>
    <w:p>
      <w:pPr>
        <w:rPr>
          <w:rFonts w:hint="default" w:ascii="Times New Roman" w:hAnsi="Times New Roman" w:cs="Times New Roman"/>
          <w:color w:val="auto"/>
        </w:rPr>
      </w:pPr>
    </w:p>
    <w:p>
      <w:pPr>
        <w:pStyle w:val="4"/>
        <w:rPr>
          <w:rFonts w:hint="default"/>
          <w:color w:val="auto"/>
        </w:rPr>
      </w:pPr>
    </w:p>
    <w:p>
      <w:pPr>
        <w:pStyle w:val="4"/>
        <w:rPr>
          <w:rFonts w:hint="default" w:ascii="Times New Roman" w:hAnsi="Times New Roman" w:cs="Times New Roman"/>
          <w:color w:val="auto"/>
        </w:rPr>
      </w:pPr>
    </w:p>
    <w:p>
      <w:bookmarkStart w:id="0" w:name="_GoBack"/>
      <w:bookmarkEnd w:id="0"/>
    </w:p>
    <w:sectPr>
      <w:headerReference r:id="rId3" w:type="default"/>
      <w:footerReference r:id="rId4" w:type="default"/>
      <w:pgSz w:w="11906" w:h="16838"/>
      <w:pgMar w:top="1440" w:right="1797" w:bottom="1440" w:left="1797" w:header="851" w:footer="992" w:gutter="0"/>
      <w:pgNumType w:fmt="numberInDash"/>
      <w:cols w:space="72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A8230D"/>
    <w:rsid w:val="2DB140E5"/>
    <w:rsid w:val="3EAB0813"/>
    <w:rsid w:val="F8FBAB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1"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semiHidden/>
    <w:uiPriority w:val="0"/>
  </w:style>
  <w:style w:type="table" w:default="1" w:styleId="12">
    <w:name w:val="Normal Table"/>
    <w:semiHidden/>
    <w:uiPriority w:val="0"/>
    <w:tblPr>
      <w:tblStyle w:val="12"/>
      <w:tblCellMar>
        <w:top w:w="0" w:type="dxa"/>
        <w:left w:w="108" w:type="dxa"/>
        <w:bottom w:w="0" w:type="dxa"/>
        <w:right w:w="108" w:type="dxa"/>
      </w:tblCellMar>
    </w:tblPr>
  </w:style>
  <w:style w:type="paragraph" w:styleId="3">
    <w:name w:val="Body Text"/>
    <w:basedOn w:val="1"/>
    <w:next w:val="4"/>
    <w:unhideWhenUsed/>
    <w:qFormat/>
    <w:uiPriority w:val="99"/>
    <w:pPr>
      <w:spacing w:after="120"/>
    </w:pPr>
  </w:style>
  <w:style w:type="paragraph" w:styleId="4">
    <w:name w:val="Body Text First Indent"/>
    <w:basedOn w:val="3"/>
    <w:next w:val="5"/>
    <w:qFormat/>
    <w:uiPriority w:val="0"/>
    <w:pPr>
      <w:spacing w:after="120"/>
      <w:ind w:firstLine="420" w:firstLineChars="100"/>
    </w:pPr>
    <w:rPr>
      <w:rFonts w:eastAsia="宋体"/>
      <w:sz w:val="21"/>
    </w:rPr>
  </w:style>
  <w:style w:type="paragraph" w:styleId="5">
    <w:name w:val="toc 5"/>
    <w:basedOn w:val="1"/>
    <w:next w:val="1"/>
    <w:qFormat/>
    <w:uiPriority w:val="0"/>
    <w:pPr>
      <w:tabs>
        <w:tab w:val="left" w:pos="7560"/>
      </w:tabs>
    </w:pPr>
    <w:rPr>
      <w:sz w:val="24"/>
    </w:rPr>
  </w:style>
  <w:style w:type="paragraph" w:styleId="6">
    <w:name w:val="Plain Text"/>
    <w:basedOn w:val="1"/>
    <w:next w:val="7"/>
    <w:qFormat/>
    <w:uiPriority w:val="0"/>
    <w:pPr>
      <w:widowControl/>
      <w:spacing w:line="500" w:lineRule="exact"/>
      <w:jc w:val="left"/>
    </w:pPr>
    <w:rPr>
      <w:rFonts w:ascii="仿宋_GB2312" w:hAnsi="宋体"/>
      <w:kern w:val="0"/>
      <w:sz w:val="30"/>
    </w:rPr>
  </w:style>
  <w:style w:type="paragraph" w:styleId="7">
    <w:name w:val="toc 1"/>
    <w:basedOn w:val="1"/>
    <w:next w:val="1"/>
    <w:unhideWhenUsed/>
    <w:qFormat/>
    <w:uiPriority w:val="1"/>
    <w:pPr>
      <w:kinsoku w:val="0"/>
      <w:overflowPunct w:val="0"/>
      <w:autoSpaceDE w:val="0"/>
      <w:autoSpaceDN w:val="0"/>
      <w:adjustRightInd w:val="0"/>
      <w:snapToGrid w:val="0"/>
      <w:ind w:firstLine="640" w:firstLineChars="200"/>
      <w:jc w:val="left"/>
    </w:pPr>
    <w:rPr>
      <w:rFonts w:ascii="仿宋_GB2312" w:hAnsi="仿宋_GB2312" w:eastAsia="仿宋_GB2312" w:cs="仿宋_GB2312"/>
      <w:sz w:val="32"/>
      <w:szCs w:val="32"/>
    </w:rPr>
  </w:style>
  <w:style w:type="paragraph" w:styleId="8">
    <w:name w:val="footer"/>
    <w:basedOn w:val="1"/>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Title"/>
    <w:basedOn w:val="1"/>
    <w:next w:val="1"/>
    <w:qFormat/>
    <w:uiPriority w:val="99"/>
    <w:pPr>
      <w:jc w:val="center"/>
      <w:outlineLvl w:val="0"/>
    </w:pPr>
    <w:rPr>
      <w:rFonts w:ascii="Calibri Light" w:hAnsi="Calibri Light" w:eastAsia="方正小标宋简体" w:cs="Times New Roman"/>
      <w:bCs/>
      <w:sz w:val="4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83.3333333333333</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丁洁</cp:lastModifiedBy>
  <dcterms:modified xsi:type="dcterms:W3CDTF">2026-02-24T03:41:50Z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