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745"/>
        <w:gridCol w:w="6824"/>
        <w:gridCol w:w="1496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/>
                <w:sz w:val="32"/>
                <w:szCs w:val="32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lang w:val="en-US" w:eastAsia="zh-CN" w:bidi="ar"/>
              </w:rPr>
              <w:t>嘉兴南湖学院2026年高层次人才招聘计划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专业/学科要求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机械工程、控制科学与工程、力学、光学工程、冶金工程、矿业工程、石油与天然气工程、动力工程及工程热物理、航空宇航科学与技术、材料科学与工程、交通运输工程、兵器科学与技术、船舶与海洋工程、核科学与技术、农业工程等相关学科专业），理学门类（系统科学、海洋科学等相关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ascii="楷体" w:hAnsi="楷体" w:eastAsia="楷体" w:cs="楷体"/>
                <w:sz w:val="21"/>
                <w:szCs w:val="21"/>
                <w:lang w:val="en-US" w:eastAsia="zh-CN" w:bidi="ar"/>
              </w:rPr>
              <w:t>工学门类（机械工程、控制科学与工程、计算机科学与技术、软件工程、力学、光学工程、冶金工程、矿业工程、石油与天然气工程、动力工程及工程热物理、航空宇航科学与技术、材料科学与工程、交通运输工程、兵器科学与技术、船舶与海洋工程、核科学与技术、农业工程、管理科学与工程等相关学科专业），理学门类（系统科学、海洋科学等相关学科专业），管理学门类（管理科学与工程等相关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控制科学与工程、光学工程、仪器科学与技术、电气工程、电子科学与技术、信息与通信工程、计算机科学与技术、测绘科学与技术、交通运输工程、船舶与海洋工程、航空宇航科学与技术、核科学与技术、农业工程、生物医学工程、兵器科学与技术、软件工程、安全科学与工程等相关学科专业），理学门类（系统科学等相关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大数据管理与应用专业专任教师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工学门类（数据科学与大数据技术、计算机科学与技术、管理科学与工程等相关学科及相近学科专业）、管理学门类（管理科学与工程等相关学科及相近学科专业）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工学门类（电子科学与技术、信息与通信工程、控制科学与工程、计算机科学与技术等相关学科及相近学科专业）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工学门类（计算机科学与技术、电子科学与技术、信息与通信工程、控制科学与工程等相关学科及相近学科专业）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工学门类（计算机科学与技术、电子科学与技术、信息与通信工程、控制科学与工程等相关学科及相近学科专业）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法学门类（法学等学科及相近学科专业）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工业设计/服装设计与工程专业专任教师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ascii="楷体" w:hAnsi="楷体" w:eastAsia="楷体" w:cs="楷体"/>
                <w:sz w:val="21"/>
                <w:szCs w:val="21"/>
                <w:lang w:val="en-US" w:eastAsia="zh-CN" w:bidi="ar"/>
              </w:rPr>
              <w:t>工学门类（机械、机械工程、</w:t>
            </w:r>
            <w:r>
              <w:rPr>
                <w:rStyle w:val="9"/>
                <w:rFonts w:ascii="楷体" w:hAnsi="楷体" w:eastAsia="楷体" w:cs="楷体"/>
                <w:sz w:val="21"/>
                <w:szCs w:val="21"/>
                <w:lang w:val="en-US" w:eastAsia="zh-CN" w:bidi="ar"/>
              </w:rPr>
              <w:t>纺织科学与工程</w:t>
            </w:r>
            <w:r>
              <w:rPr>
                <w:rStyle w:val="8"/>
                <w:rFonts w:ascii="楷体" w:hAnsi="楷体" w:eastAsia="楷体" w:cs="楷体"/>
                <w:sz w:val="21"/>
                <w:szCs w:val="21"/>
                <w:lang w:val="en-US" w:eastAsia="zh-CN" w:bidi="ar"/>
              </w:rPr>
              <w:t>等相关学科及相近学科专业）、艺术学门类（设计等相关学科及相近学科专业）、交叉学门类（设计学等相关学科及相近学科专业）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专职思政课教师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哲学门类（哲学（马克思主义哲学、中国哲学）等相关学科专业）、法学门类（马克思主义理论、政治学、社会学、民族学、中共党史党建学等相关学科专业）、教育学门类（教育学等相关学科专业）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pStyle w:val="2"/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  <w:t>中共党员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  <w:t>（含中共预备党员）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大学数学专业专任教师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理学门类（数学相关学科及相近学科专业）、工学门类（控制科学与工程相关学科及相近学科专业）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0526"/>
    <w:rsid w:val="356F323F"/>
    <w:rsid w:val="4191215B"/>
    <w:rsid w:val="76D8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51"/>
    <w:basedOn w:val="6"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  <w:style w:type="character" w:customStyle="1" w:styleId="8">
    <w:name w:val="font71"/>
    <w:basedOn w:val="6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81"/>
    <w:basedOn w:val="6"/>
    <w:uiPriority w:val="0"/>
    <w:rPr>
      <w:rFonts w:hint="eastAsia" w:ascii="仿宋" w:hAnsi="仿宋" w:eastAsia="仿宋" w:cs="仿宋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2026-03-31T09:43:00Z</dcterms:created>
  <dc:creator>酥小二</dc:creator>
  <cp:lastModifiedBy>酥小二</cp:lastModifiedBy>
  <dcterms:modified xsi:type="dcterms:W3CDTF">2026-03-31T09:44:01Z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