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611D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3FFC28B1">
      <w:pPr>
        <w:adjustRightInd w:val="0"/>
        <w:snapToGrid w:val="0"/>
        <w:spacing w:before="312" w:beforeLines="100" w:line="60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安阳师范学院202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年高层次人才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引进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一览表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具有副高级及以上职称优秀博士人才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）</w:t>
      </w:r>
    </w:p>
    <w:tbl>
      <w:tblPr>
        <w:tblStyle w:val="4"/>
        <w:tblW w:w="89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2451"/>
        <w:gridCol w:w="850"/>
        <w:gridCol w:w="1212"/>
        <w:gridCol w:w="1511"/>
        <w:gridCol w:w="2009"/>
      </w:tblGrid>
      <w:tr w14:paraId="01EF0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Header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96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706EA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A9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BC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D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  <w:p w14:paraId="4BAC0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(学位)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BAB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  <w:p w14:paraId="439D2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（等级）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9D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</w:tr>
      <w:tr w14:paraId="2934F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C9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  <w:t>附件1</w:t>
            </w:r>
          </w:p>
          <w:p w14:paraId="1D4DB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19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01哲学、02经济学、03法学、04教育学、05文学、06历史学、07理学、08工学、12管理学、13艺术学、14交叉学科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3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A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E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 w14:paraId="0FA37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A9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  <w:t>附件1</w:t>
            </w:r>
          </w:p>
          <w:p w14:paraId="049DE2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  <w:t>联系人及联系方式</w:t>
            </w:r>
          </w:p>
        </w:tc>
      </w:tr>
      <w:tr w14:paraId="4DE38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0E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  <w:t>附件1</w:t>
            </w:r>
          </w:p>
          <w:p w14:paraId="43E79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41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01哲学、02经济学、03法学、04教育学、05文学、06历史学、07理学、08工学、12管理学、13艺术学、14交叉学科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1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B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1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 w14:paraId="7E50A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1BB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  <w:t>附件1</w:t>
            </w:r>
          </w:p>
          <w:p w14:paraId="529C1D1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  <w:t>联系人及联系方式</w:t>
            </w:r>
          </w:p>
        </w:tc>
      </w:tr>
      <w:tr w14:paraId="79640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7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  <w:t>说明</w:t>
            </w:r>
          </w:p>
        </w:tc>
        <w:tc>
          <w:tcPr>
            <w:tcW w:w="8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FE3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招聘专业为一级学科，且符合附件1中的二级学科要求；</w:t>
            </w:r>
          </w:p>
          <w:p w14:paraId="1D444C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具有高级职称的博士，应具有专业技术职务任职资格且符合河南省职称认定相关要求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0011B453">
      <w:pPr>
        <w:widowControl/>
        <w:jc w:val="left"/>
        <w:rPr>
          <w:rFonts w:ascii="仿宋" w:hAnsi="仿宋" w:eastAsia="仿宋" w:cs="仿宋"/>
          <w:color w:val="000000"/>
          <w:sz w:val="31"/>
          <w:szCs w:val="31"/>
          <w:highlight w:val="none"/>
          <w:shd w:val="clear" w:color="auto" w:fill="FFFFFF"/>
        </w:rPr>
      </w:pPr>
    </w:p>
    <w:p w14:paraId="469C84CF">
      <w:pPr>
        <w:widowControl/>
        <w:jc w:val="left"/>
        <w:rPr>
          <w:rFonts w:ascii="仿宋" w:hAnsi="仿宋" w:eastAsia="仿宋" w:cs="仿宋"/>
          <w:color w:val="000000"/>
          <w:sz w:val="31"/>
          <w:szCs w:val="31"/>
          <w:highlight w:val="none"/>
          <w:shd w:val="clear" w:color="auto" w:fill="FFFFFF"/>
        </w:rPr>
      </w:pPr>
    </w:p>
    <w:p w14:paraId="58C517F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BC9DA">
    <w:pPr>
      <w:pStyle w:val="2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2F473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11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 xml:space="preserve"> — </w:t>
                          </w:r>
                          <w:r>
                            <w:rPr>
                              <w:rStyle w:val="6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2F473">
                    <w:pPr>
                      <w:pStyle w:val="2"/>
                      <w:wordWrap w:val="0"/>
                      <w:jc w:val="right"/>
                    </w:pPr>
                    <w:r>
                      <w:rPr>
                        <w:rStyle w:val="6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11</w: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 xml:space="preserve"> — </w:t>
                    </w:r>
                    <w:r>
                      <w:rPr>
                        <w:rStyle w:val="6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9EB73AD">
    <w:pPr>
      <w:pStyle w:val="2"/>
    </w:pPr>
  </w:p>
  <w:p w14:paraId="0FD99C5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AB61">
    <w:pPr>
      <w:pStyle w:val="2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1C3E8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1C3E8">
                    <w:pPr>
                      <w:pStyle w:val="2"/>
                      <w:ind w:firstLine="280" w:firstLineChars="100"/>
                    </w:pPr>
                    <w:r>
                      <w:rPr>
                        <w:rStyle w:val="6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B25190B">
    <w:pPr>
      <w:pStyle w:val="2"/>
    </w:pPr>
  </w:p>
  <w:p w14:paraId="060CCE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24A8D"/>
    <w:rsid w:val="1A324A8D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2026-04-09T07:06:00Z</dcterms:created>
  <dc:creator>四驱小蜗牛</dc:creator>
  <cp:lastModifiedBy>四驱小蜗牛</cp:lastModifiedBy>
  <dcterms:modified xsi:type="dcterms:W3CDTF">2026-04-09T07:06:19Z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ABC1267BB7DE4E5489406BC4A59808C8_11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