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r>
        <w:t>窗体顶端</w:t>
      </w:r>
    </w:p>
    <w:p>
      <w:pPr>
        <w:pStyle w:val="5"/>
        <w:keepNext w:val="0"/>
        <w:keepLines w:val="0"/>
        <w:widowControl/>
        <w:suppressLineNumbers w:val="0"/>
        <w:spacing w:after="0" w:afterAutospacing="0" w:line="450" w:lineRule="atLeast"/>
        <w:ind w:left="0" w:right="0"/>
        <w:jc w:val="center"/>
      </w:pPr>
      <w:r>
        <w:rPr>
          <w:rFonts w:ascii="黑体" w:hAnsi="宋体" w:eastAsia="黑体" w:cs="黑体"/>
          <w:color w:val="000000"/>
          <w:sz w:val="31"/>
          <w:szCs w:val="31"/>
        </w:rPr>
        <w:t>附件1：韩山师范学院</w:t>
      </w:r>
      <w:r>
        <w:rPr>
          <w:rFonts w:hint="eastAsia" w:ascii="黑体" w:hAnsi="宋体" w:eastAsia="黑体" w:cs="黑体"/>
          <w:color w:val="000000"/>
          <w:sz w:val="36"/>
          <w:szCs w:val="36"/>
          <w:lang w:val="en-US"/>
        </w:rPr>
        <w:t>2021</w:t>
      </w:r>
      <w:r>
        <w:rPr>
          <w:rFonts w:hint="eastAsia" w:ascii="黑体" w:hAnsi="宋体" w:eastAsia="黑体" w:cs="黑体"/>
          <w:color w:val="000000"/>
          <w:sz w:val="31"/>
          <w:szCs w:val="31"/>
        </w:rPr>
        <w:t>年普</w:t>
      </w:r>
      <w:bookmarkStart w:id="0" w:name="_GoBack"/>
      <w:bookmarkEnd w:id="0"/>
      <w:r>
        <w:rPr>
          <w:rFonts w:hint="eastAsia" w:ascii="黑体" w:hAnsi="宋体" w:eastAsia="黑体" w:cs="黑体"/>
          <w:color w:val="000000"/>
          <w:sz w:val="31"/>
          <w:szCs w:val="31"/>
        </w:rPr>
        <w:t>通专升本拟招生专业目录</w:t>
      </w:r>
    </w:p>
    <w:tbl>
      <w:tblPr>
        <w:tblW w:w="1005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5"/>
        <w:gridCol w:w="701"/>
        <w:gridCol w:w="1922"/>
        <w:gridCol w:w="1129"/>
        <w:gridCol w:w="1211"/>
        <w:gridCol w:w="762"/>
        <w:gridCol w:w="1131"/>
        <w:gridCol w:w="1236"/>
        <w:gridCol w:w="1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76" w:hRule="atLeast"/>
          <w:tblCellSpacing w:w="0" w:type="dxa"/>
          <w:jc w:val="center"/>
        </w:trPr>
        <w:tc>
          <w:tcPr>
            <w:tcW w:w="485" w:type="dxa"/>
            <w:vMerge w:val="restart"/>
            <w:tcBorders>
              <w:top w:val="single" w:color="auto" w:sz="6" w:space="0"/>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Style w:val="8"/>
                <w:rFonts w:ascii="华文仿宋" w:hAnsi="华文仿宋" w:eastAsia="华文仿宋" w:cs="华文仿宋"/>
                <w:color w:val="000000"/>
                <w:sz w:val="24"/>
                <w:szCs w:val="24"/>
              </w:rPr>
              <w:t>专业代码</w:t>
            </w:r>
          </w:p>
        </w:tc>
        <w:tc>
          <w:tcPr>
            <w:tcW w:w="701" w:type="dxa"/>
            <w:vMerge w:val="restart"/>
            <w:tcBorders>
              <w:top w:val="single" w:color="auto" w:sz="6" w:space="0"/>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Style w:val="8"/>
                <w:rFonts w:hint="eastAsia" w:ascii="华文仿宋" w:hAnsi="华文仿宋" w:eastAsia="华文仿宋" w:cs="华文仿宋"/>
                <w:color w:val="000000"/>
                <w:sz w:val="24"/>
                <w:szCs w:val="24"/>
                <w:bdr w:val="none" w:color="auto" w:sz="0" w:space="0"/>
              </w:rPr>
              <w:t>批次</w:t>
            </w:r>
          </w:p>
        </w:tc>
        <w:tc>
          <w:tcPr>
            <w:tcW w:w="1922" w:type="dxa"/>
            <w:vMerge w:val="restart"/>
            <w:tcBorders>
              <w:top w:val="single" w:color="auto" w:sz="6" w:space="0"/>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Style w:val="8"/>
                <w:rFonts w:hint="eastAsia" w:ascii="华文仿宋" w:hAnsi="华文仿宋" w:eastAsia="华文仿宋" w:cs="华文仿宋"/>
                <w:color w:val="000000"/>
                <w:sz w:val="24"/>
                <w:szCs w:val="24"/>
              </w:rPr>
              <w:t>专业名称</w:t>
            </w:r>
          </w:p>
        </w:tc>
        <w:tc>
          <w:tcPr>
            <w:tcW w:w="1129" w:type="dxa"/>
            <w:vMerge w:val="restart"/>
            <w:tcBorders>
              <w:top w:val="single" w:color="auto" w:sz="6" w:space="0"/>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Style w:val="8"/>
                <w:rFonts w:hint="eastAsia" w:ascii="华文仿宋" w:hAnsi="华文仿宋" w:eastAsia="华文仿宋" w:cs="华文仿宋"/>
                <w:color w:val="000000"/>
                <w:sz w:val="24"/>
                <w:szCs w:val="24"/>
              </w:rPr>
              <w:t>省统考科目</w:t>
            </w:r>
          </w:p>
        </w:tc>
        <w:tc>
          <w:tcPr>
            <w:tcW w:w="1211" w:type="dxa"/>
            <w:vMerge w:val="restart"/>
            <w:tcBorders>
              <w:top w:val="single" w:color="auto" w:sz="6" w:space="0"/>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Style w:val="8"/>
                <w:rFonts w:hint="eastAsia" w:ascii="华文仿宋" w:hAnsi="华文仿宋" w:eastAsia="华文仿宋" w:cs="华文仿宋"/>
                <w:color w:val="000000"/>
                <w:sz w:val="24"/>
                <w:szCs w:val="24"/>
              </w:rPr>
              <w:t>专业综合课</w:t>
            </w:r>
          </w:p>
        </w:tc>
        <w:tc>
          <w:tcPr>
            <w:tcW w:w="1893" w:type="dxa"/>
            <w:gridSpan w:val="2"/>
            <w:tcBorders>
              <w:top w:val="single" w:color="auto" w:sz="6" w:space="0"/>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Style w:val="8"/>
                <w:rFonts w:hint="eastAsia" w:ascii="华文仿宋" w:hAnsi="华文仿宋" w:eastAsia="华文仿宋" w:cs="华文仿宋"/>
                <w:color w:val="000000"/>
                <w:sz w:val="24"/>
                <w:szCs w:val="24"/>
              </w:rPr>
              <w:t>收费标准（元</w:t>
            </w:r>
            <w:r>
              <w:rPr>
                <w:rStyle w:val="8"/>
                <w:rFonts w:hint="eastAsia" w:ascii="华文仿宋" w:hAnsi="华文仿宋" w:eastAsia="华文仿宋" w:cs="华文仿宋"/>
                <w:color w:val="000000"/>
                <w:sz w:val="24"/>
                <w:szCs w:val="24"/>
                <w:lang w:val="en-US"/>
              </w:rPr>
              <w:t>/</w:t>
            </w:r>
            <w:r>
              <w:rPr>
                <w:rStyle w:val="8"/>
                <w:rFonts w:hint="eastAsia" w:ascii="华文仿宋" w:hAnsi="华文仿宋" w:eastAsia="华文仿宋" w:cs="华文仿宋"/>
                <w:color w:val="000000"/>
                <w:sz w:val="24"/>
                <w:szCs w:val="24"/>
              </w:rPr>
              <w:t>年）</w:t>
            </w:r>
          </w:p>
        </w:tc>
        <w:tc>
          <w:tcPr>
            <w:tcW w:w="1236" w:type="dxa"/>
            <w:vMerge w:val="restart"/>
            <w:tcBorders>
              <w:top w:val="single" w:color="auto" w:sz="6" w:space="0"/>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Style w:val="8"/>
                <w:rFonts w:hint="eastAsia" w:ascii="华文仿宋" w:hAnsi="华文仿宋" w:eastAsia="华文仿宋" w:cs="华文仿宋"/>
                <w:color w:val="000000"/>
                <w:sz w:val="24"/>
                <w:szCs w:val="24"/>
              </w:rPr>
              <w:t>教学地点</w:t>
            </w:r>
          </w:p>
        </w:tc>
        <w:tc>
          <w:tcPr>
            <w:tcW w:w="1479" w:type="dxa"/>
            <w:vMerge w:val="restart"/>
            <w:tcBorders>
              <w:top w:val="single" w:color="auto" w:sz="6" w:space="0"/>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Style w:val="8"/>
                <w:rFonts w:hint="eastAsia" w:ascii="华文仿宋" w:hAnsi="华文仿宋" w:eastAsia="华文仿宋" w:cs="华文仿宋"/>
                <w:color w:val="000000"/>
                <w:sz w:val="24"/>
                <w:szCs w:val="24"/>
              </w:rPr>
              <w:t>备注</w:t>
            </w:r>
          </w:p>
          <w:p>
            <w:pPr>
              <w:pStyle w:val="5"/>
              <w:keepNext w:val="0"/>
              <w:keepLines w:val="0"/>
              <w:widowControl/>
              <w:suppressLineNumbers w:val="0"/>
              <w:spacing w:before="45" w:beforeAutospacing="0" w:after="45" w:afterAutospacing="0" w:line="465" w:lineRule="atLeast"/>
              <w:ind w:left="0" w:right="0"/>
              <w:jc w:val="center"/>
            </w:pPr>
            <w:r>
              <w:rPr>
                <w:rStyle w:val="8"/>
                <w:rFonts w:hint="eastAsia" w:ascii="华文仿宋" w:hAnsi="华文仿宋" w:eastAsia="华文仿宋" w:cs="华文仿宋"/>
                <w:color w:val="000000"/>
                <w:sz w:val="24"/>
                <w:szCs w:val="24"/>
              </w:rPr>
              <w:t>（限制条件）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13" w:hRule="atLeast"/>
          <w:tblCellSpacing w:w="0" w:type="dxa"/>
          <w:jc w:val="center"/>
        </w:trPr>
        <w:tc>
          <w:tcPr>
            <w:tcW w:w="485"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hAnsi="宋体" w:eastAsia="宋体" w:cs="宋体"/>
                <w:sz w:val="21"/>
                <w:szCs w:val="21"/>
              </w:rPr>
            </w:pPr>
          </w:p>
        </w:tc>
        <w:tc>
          <w:tcPr>
            <w:tcW w:w="701" w:type="dxa"/>
            <w:vMerge w:val="continue"/>
            <w:tcBorders>
              <w:top w:val="single" w:color="auto" w:sz="6" w:space="0"/>
              <w:left w:val="nil"/>
              <w:bottom w:val="single" w:color="auto" w:sz="6" w:space="0"/>
              <w:right w:val="single" w:color="auto" w:sz="6" w:space="0"/>
            </w:tcBorders>
            <w:shd w:val="clear"/>
            <w:vAlign w:val="center"/>
          </w:tcPr>
          <w:p>
            <w:pPr>
              <w:rPr>
                <w:rFonts w:hint="eastAsia" w:ascii="宋体" w:hAnsi="宋体" w:eastAsia="宋体" w:cs="宋体"/>
                <w:sz w:val="21"/>
                <w:szCs w:val="21"/>
              </w:rPr>
            </w:pPr>
          </w:p>
        </w:tc>
        <w:tc>
          <w:tcPr>
            <w:tcW w:w="1922" w:type="dxa"/>
            <w:vMerge w:val="continue"/>
            <w:tcBorders>
              <w:top w:val="single" w:color="auto" w:sz="6" w:space="0"/>
              <w:left w:val="nil"/>
              <w:bottom w:val="single" w:color="auto" w:sz="6" w:space="0"/>
              <w:right w:val="single" w:color="auto" w:sz="6" w:space="0"/>
            </w:tcBorders>
            <w:shd w:val="clear"/>
            <w:vAlign w:val="center"/>
          </w:tcPr>
          <w:p>
            <w:pPr>
              <w:rPr>
                <w:rFonts w:hint="eastAsia" w:ascii="宋体" w:hAnsi="宋体" w:eastAsia="宋体" w:cs="宋体"/>
                <w:sz w:val="21"/>
                <w:szCs w:val="21"/>
              </w:rPr>
            </w:pPr>
          </w:p>
        </w:tc>
        <w:tc>
          <w:tcPr>
            <w:tcW w:w="1129" w:type="dxa"/>
            <w:vMerge w:val="continue"/>
            <w:tcBorders>
              <w:top w:val="single" w:color="auto" w:sz="6" w:space="0"/>
              <w:left w:val="nil"/>
              <w:bottom w:val="single" w:color="auto" w:sz="6" w:space="0"/>
              <w:right w:val="single" w:color="auto" w:sz="6" w:space="0"/>
            </w:tcBorders>
            <w:shd w:val="clear"/>
            <w:vAlign w:val="center"/>
          </w:tcPr>
          <w:p>
            <w:pPr>
              <w:rPr>
                <w:rFonts w:hint="eastAsia" w:ascii="宋体" w:hAnsi="宋体" w:eastAsia="宋体" w:cs="宋体"/>
                <w:sz w:val="21"/>
                <w:szCs w:val="21"/>
              </w:rPr>
            </w:pPr>
          </w:p>
        </w:tc>
        <w:tc>
          <w:tcPr>
            <w:tcW w:w="1211" w:type="dxa"/>
            <w:vMerge w:val="continue"/>
            <w:tcBorders>
              <w:top w:val="single" w:color="auto" w:sz="6" w:space="0"/>
              <w:left w:val="nil"/>
              <w:bottom w:val="single" w:color="auto" w:sz="6" w:space="0"/>
              <w:right w:val="single" w:color="auto" w:sz="6" w:space="0"/>
            </w:tcBorders>
            <w:shd w:val="clear"/>
            <w:vAlign w:val="center"/>
          </w:tcPr>
          <w:p>
            <w:pPr>
              <w:rPr>
                <w:rFonts w:hint="eastAsia" w:ascii="宋体" w:hAnsi="宋体" w:eastAsia="宋体" w:cs="宋体"/>
                <w:sz w:val="21"/>
                <w:szCs w:val="21"/>
              </w:rPr>
            </w:pP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Style w:val="8"/>
                <w:rFonts w:hint="eastAsia" w:ascii="华文仿宋" w:hAnsi="华文仿宋" w:eastAsia="华文仿宋" w:cs="华文仿宋"/>
                <w:color w:val="000000"/>
                <w:sz w:val="24"/>
                <w:szCs w:val="24"/>
              </w:rPr>
              <w:t>学费</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Style w:val="8"/>
                <w:rFonts w:hint="eastAsia" w:ascii="华文仿宋" w:hAnsi="华文仿宋" w:eastAsia="华文仿宋" w:cs="华文仿宋"/>
                <w:color w:val="000000"/>
                <w:sz w:val="24"/>
                <w:szCs w:val="24"/>
              </w:rPr>
              <w:t>住宿费</w:t>
            </w:r>
          </w:p>
        </w:tc>
        <w:tc>
          <w:tcPr>
            <w:tcW w:w="1236" w:type="dxa"/>
            <w:vMerge w:val="continue"/>
            <w:tcBorders>
              <w:top w:val="single" w:color="auto" w:sz="6" w:space="0"/>
              <w:left w:val="nil"/>
              <w:bottom w:val="single" w:color="auto" w:sz="6" w:space="0"/>
              <w:right w:val="single" w:color="auto" w:sz="6" w:space="0"/>
            </w:tcBorders>
            <w:shd w:val="clear"/>
            <w:vAlign w:val="center"/>
          </w:tcPr>
          <w:p>
            <w:pPr>
              <w:rPr>
                <w:rFonts w:hint="eastAsia" w:ascii="宋体" w:hAnsi="宋体" w:eastAsia="宋体" w:cs="宋体"/>
                <w:sz w:val="21"/>
                <w:szCs w:val="21"/>
              </w:rPr>
            </w:pPr>
          </w:p>
        </w:tc>
        <w:tc>
          <w:tcPr>
            <w:tcW w:w="1479" w:type="dxa"/>
            <w:vMerge w:val="continue"/>
            <w:tcBorders>
              <w:top w:val="single" w:color="auto" w:sz="6" w:space="0"/>
              <w:left w:val="nil"/>
              <w:bottom w:val="single" w:color="auto" w:sz="6" w:space="0"/>
              <w:right w:val="single" w:color="auto" w:sz="6" w:space="0"/>
            </w:tcBorders>
            <w:shd w:val="cle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2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001</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提前批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烹饪与营养教育</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（职教师资）</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教育理论</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烹饪工艺与营养专业综合</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650-1600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韩山师范学院</w:t>
            </w:r>
          </w:p>
        </w:tc>
        <w:tc>
          <w:tcPr>
            <w:tcW w:w="1479" w:type="dxa"/>
            <w:vMerge w:val="restart"/>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1"/>
                <w:szCs w:val="21"/>
                <w:bdr w:val="none" w:color="auto" w:sz="0" w:space="0"/>
                <w:lang w:val="en-US"/>
              </w:rPr>
              <w:t>1</w:t>
            </w:r>
            <w:r>
              <w:rPr>
                <w:rFonts w:hint="eastAsia" w:ascii="华文仿宋" w:hAnsi="华文仿宋" w:eastAsia="华文仿宋" w:cs="华文仿宋"/>
                <w:color w:val="000000"/>
                <w:sz w:val="21"/>
                <w:szCs w:val="21"/>
                <w:bdr w:val="none" w:color="auto" w:sz="0" w:space="0"/>
              </w:rPr>
              <w:t>、须获得以下技能证书之一方能报考：省级以上人力资源和社会保障部门主考（或授权）的中式烹调师、西式烹调师、中式面点师、西式面点师、营养配餐员、健康管理师、公共营养师的中级及以上职业资格技能等级证书或广东省教育考试院主考的烹饪专业技能课程</w:t>
            </w:r>
            <w:r>
              <w:rPr>
                <w:rFonts w:hint="eastAsia" w:ascii="华文仿宋" w:hAnsi="华文仿宋" w:eastAsia="华文仿宋" w:cs="华文仿宋"/>
                <w:color w:val="000000"/>
                <w:sz w:val="21"/>
                <w:szCs w:val="21"/>
                <w:bdr w:val="none" w:color="auto" w:sz="0" w:space="0"/>
                <w:lang w:val="en-US"/>
              </w:rPr>
              <w:t>B</w:t>
            </w:r>
            <w:r>
              <w:rPr>
                <w:rFonts w:hint="eastAsia" w:ascii="华文仿宋" w:hAnsi="华文仿宋" w:eastAsia="华文仿宋" w:cs="华文仿宋"/>
                <w:color w:val="000000"/>
                <w:sz w:val="21"/>
                <w:szCs w:val="21"/>
                <w:bdr w:val="none" w:color="auto" w:sz="0" w:space="0"/>
              </w:rPr>
              <w:t>级及以上证书；</w:t>
            </w:r>
            <w:r>
              <w:rPr>
                <w:rFonts w:hint="eastAsia" w:ascii="华文仿宋" w:hAnsi="华文仿宋" w:eastAsia="华文仿宋" w:cs="华文仿宋"/>
                <w:color w:val="000000"/>
                <w:sz w:val="21"/>
                <w:szCs w:val="21"/>
                <w:bdr w:val="none" w:color="auto" w:sz="0" w:space="0"/>
                <w:lang w:val="en-US"/>
              </w:rPr>
              <w:t>2</w:t>
            </w:r>
            <w:r>
              <w:rPr>
                <w:rFonts w:hint="eastAsia" w:ascii="华文仿宋" w:hAnsi="华文仿宋" w:eastAsia="华文仿宋" w:cs="华文仿宋"/>
                <w:color w:val="000000"/>
                <w:sz w:val="21"/>
                <w:szCs w:val="21"/>
                <w:bdr w:val="none" w:color="auto" w:sz="0" w:space="0"/>
              </w:rPr>
              <w:t>、因用人单位可能对考生身体素质有要求，请转氨酶异常的考生慎重报考。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002</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提前批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烹饪与营养教育</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（职教师资，与顺德职业技术学院协同培养）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教育理论</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烹饪工艺与营养专业综合</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1500-1600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顺德职业技术学院</w:t>
            </w:r>
          </w:p>
        </w:tc>
        <w:tc>
          <w:tcPr>
            <w:tcW w:w="1479" w:type="dxa"/>
            <w:vMerge w:val="continue"/>
            <w:tcBorders>
              <w:top w:val="nil"/>
              <w:left w:val="nil"/>
              <w:bottom w:val="single" w:color="auto" w:sz="6" w:space="0"/>
              <w:right w:val="single" w:color="auto" w:sz="6" w:space="0"/>
            </w:tcBorders>
            <w:shd w:val="cle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003</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提前批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烹饪与营养教育</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（职教师资，与广东食品药品职业学院协同培养）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教育理论</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烹饪工艺与营养专业综合</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350-1500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广东食品药品职业学院龙洞校区</w:t>
            </w:r>
          </w:p>
        </w:tc>
        <w:tc>
          <w:tcPr>
            <w:tcW w:w="1479" w:type="dxa"/>
            <w:vMerge w:val="continue"/>
            <w:tcBorders>
              <w:top w:val="nil"/>
              <w:left w:val="nil"/>
              <w:bottom w:val="single" w:color="auto" w:sz="6" w:space="0"/>
              <w:right w:val="single" w:color="auto" w:sz="6" w:space="0"/>
            </w:tcBorders>
            <w:shd w:val="cle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2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004</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财务管理</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高等数学</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基础会计学（省统考）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4590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650-1600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韩山师范学院</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2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005</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数学与应用数学（师范）</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高等数学</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数学专业综合（省统考）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650-1600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韩山师范学院</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2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006</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学前教育（师范）</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教育理论</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学前教育专业综合</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4590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650-1600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韩山师范学院</w:t>
            </w:r>
          </w:p>
        </w:tc>
        <w:tc>
          <w:tcPr>
            <w:tcW w:w="147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不招色盲色弱考生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2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007</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社会工作</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民法</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社会工作概论</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4590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650-1600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韩山师范学院</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008</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（师范，与广东省外语艺术职业学院协同培养）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大学语文</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英语基础与写作（省统考）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850-1000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广东省外语艺术职业学院燕岭校区</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009</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汉语言文学</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（师范，与广东省外语艺术职业学院协同培养）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大学语文</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汉语言文学学科基础（省统考）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4590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850-1000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广东省外语艺术职业学院燕岭校区</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010</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社会工作</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（与广东科学技术职业学院协同培养）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民法</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社会工作概论</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4590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1700-1800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广东科学技术职业学院珠海校区</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011</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计算机科学与技术</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（与广东科学技术职业学院协同培养）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高等数学</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计算机基础与程序设计（省统考）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1700-1800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广东科学技术职业学院珠海校区</w:t>
            </w:r>
          </w:p>
        </w:tc>
        <w:tc>
          <w:tcPr>
            <w:tcW w:w="147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不招单色识别不全考生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012</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视觉传达设计</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（与广东科学技术职业学院协同培养）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艺术概论</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设计基础（省统考）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10000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1700-1800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广东科学技术职业学院珠海校区</w:t>
            </w:r>
          </w:p>
        </w:tc>
        <w:tc>
          <w:tcPr>
            <w:tcW w:w="147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不招色盲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013</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食品科学与工程</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（与广东食品药品职业学院协同培养）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高等数学</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食品化学与分析</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350-1500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广东食品药品职业学院龙洞校区</w:t>
            </w:r>
          </w:p>
        </w:tc>
        <w:tc>
          <w:tcPr>
            <w:tcW w:w="147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不招色盲色弱考生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014</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计算机科学与技术</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（与广东水利电力职业技术学院协同培养）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高等数学</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计算机基础与程序设计（省统考）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500-750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广东水利电力职业技术学院天河校区</w:t>
            </w:r>
          </w:p>
        </w:tc>
        <w:tc>
          <w:tcPr>
            <w:tcW w:w="147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不招单色识别不全考生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79"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015</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电气工程及其自动化</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（与中山火炬职业技术学院协同培养）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高等数学</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电子技术基础</w:t>
            </w:r>
            <w:r>
              <w:rPr>
                <w:rFonts w:hint="eastAsia" w:ascii="华文仿宋" w:hAnsi="华文仿宋" w:eastAsia="华文仿宋" w:cs="华文仿宋"/>
                <w:color w:val="000000"/>
                <w:sz w:val="24"/>
                <w:szCs w:val="24"/>
                <w:bdr w:val="none" w:color="auto" w:sz="0" w:space="0"/>
                <w:lang w:val="en-US"/>
              </w:rPr>
              <w:br w:type="textWrapping"/>
            </w:r>
            <w:r>
              <w:rPr>
                <w:rFonts w:hint="eastAsia" w:ascii="华文仿宋" w:hAnsi="华文仿宋" w:eastAsia="华文仿宋" w:cs="华文仿宋"/>
                <w:color w:val="000000"/>
                <w:sz w:val="24"/>
                <w:szCs w:val="24"/>
                <w:bdr w:val="none" w:color="auto" w:sz="0" w:space="0"/>
              </w:rPr>
              <w:t>（省统考）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1200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中山火炬职业技术学院</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016</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美术学</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（师范，与广东省外语艺术职业学院协同培养）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艺术概论</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美术学综合</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10000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850-1000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广东省外语艺术职业学院燕岭校区</w:t>
            </w:r>
          </w:p>
        </w:tc>
        <w:tc>
          <w:tcPr>
            <w:tcW w:w="147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不招色盲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017</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小学教育</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（师范，与广东省外语艺术职业学院协同培养）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教育理论</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小学教育专业综合</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4590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850-1000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广东省外语艺术职业学院燕岭校区</w:t>
            </w:r>
          </w:p>
        </w:tc>
        <w:tc>
          <w:tcPr>
            <w:tcW w:w="147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不招色盲色弱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018</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数学与应用数学</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（师范，与广东省外语艺术职业学院协同培养）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高等数学</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数学专业综合（省统考）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850-1000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广东省外语艺术职业学院燕岭校区</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019</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商务英语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（与广东省外语艺术职业学院协同培养）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大学语文</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英语基础与写作（省统考）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850-1000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广东省外语艺术职业学院五山校区</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020</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普通批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音乐表演</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（与广东省外语艺术职业学院协同培养）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艺术概论</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音乐综合</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10000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850-1000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广东省外语艺术职业学院五山校区</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021</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建档立卡批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（师范，与广东省外语艺术职业学院协同培养）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大学语文</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英语基础与写作（省统考）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850-1000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广东省外语艺术职业学院燕岭校区</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022</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建档立卡批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汉语言文学</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（师范，与广东省外语艺术职业学院协同培养）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大学语文</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汉语言文学学科基础（省统考）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4590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850-1000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广东省外语艺术职业学院燕岭校区</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023</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建档立卡批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计算机科学与技术</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（与广东科学技术职业学院协同培养）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高等数学</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计算机基础与程序设计（省统考）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1700-1800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广东科学技术职业学院珠海校区</w:t>
            </w:r>
          </w:p>
        </w:tc>
        <w:tc>
          <w:tcPr>
            <w:tcW w:w="147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不招单色识别不全考生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024</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建档立卡批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小学教育</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（师范，与广东省外语艺术职业学院协同培养）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教育理论</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小学教育专业综合</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4590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850-1000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广东省外语艺术职业学院燕岭校区</w:t>
            </w:r>
          </w:p>
        </w:tc>
        <w:tc>
          <w:tcPr>
            <w:tcW w:w="147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不招色盲色弱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blCellSpacing w:w="0" w:type="dxa"/>
          <w:jc w:val="center"/>
        </w:trPr>
        <w:tc>
          <w:tcPr>
            <w:tcW w:w="485"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lang w:val="en-US"/>
              </w:rPr>
              <w:t>025</w:t>
            </w:r>
          </w:p>
        </w:tc>
        <w:tc>
          <w:tcPr>
            <w:tcW w:w="70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建档立卡批</w:t>
            </w:r>
          </w:p>
        </w:tc>
        <w:tc>
          <w:tcPr>
            <w:tcW w:w="192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数学与应用数学</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（师范，与广东省外语艺术职业学院协同培养）</w:t>
            </w:r>
          </w:p>
        </w:tc>
        <w:tc>
          <w:tcPr>
            <w:tcW w:w="1129"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政治理论</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英语</w:t>
            </w:r>
          </w:p>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高等数学</w:t>
            </w:r>
          </w:p>
        </w:tc>
        <w:tc>
          <w:tcPr>
            <w:tcW w:w="121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数学专业综合（省统考）</w:t>
            </w:r>
          </w:p>
        </w:tc>
        <w:tc>
          <w:tcPr>
            <w:tcW w:w="762"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5190</w:t>
            </w:r>
          </w:p>
        </w:tc>
        <w:tc>
          <w:tcPr>
            <w:tcW w:w="1131"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before="45" w:beforeAutospacing="0" w:after="45" w:afterAutospacing="0" w:line="465" w:lineRule="atLeast"/>
              <w:ind w:left="0" w:right="0"/>
              <w:jc w:val="center"/>
            </w:pPr>
            <w:r>
              <w:rPr>
                <w:rFonts w:hint="eastAsia" w:ascii="华文仿宋" w:hAnsi="华文仿宋" w:eastAsia="华文仿宋" w:cs="华文仿宋"/>
                <w:color w:val="000000"/>
                <w:sz w:val="24"/>
                <w:szCs w:val="24"/>
                <w:lang w:val="en-US"/>
              </w:rPr>
              <w:t>850-1000</w:t>
            </w:r>
          </w:p>
        </w:tc>
        <w:tc>
          <w:tcPr>
            <w:tcW w:w="1236"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spacing w:line="23" w:lineRule="atLeast"/>
              <w:jc w:val="center"/>
            </w:pPr>
            <w:r>
              <w:rPr>
                <w:rFonts w:hint="eastAsia" w:ascii="华文仿宋" w:hAnsi="华文仿宋" w:eastAsia="华文仿宋" w:cs="华文仿宋"/>
                <w:color w:val="000000"/>
                <w:sz w:val="24"/>
                <w:szCs w:val="24"/>
                <w:bdr w:val="none" w:color="auto" w:sz="0" w:space="0"/>
              </w:rPr>
              <w:t>广东省外语艺术职业学院燕岭校区</w:t>
            </w:r>
          </w:p>
        </w:tc>
        <w:tc>
          <w:tcPr>
            <w:tcW w:w="1479" w:type="dxa"/>
            <w:tcBorders>
              <w:top w:val="nil"/>
              <w:left w:val="nil"/>
              <w:bottom w:val="single" w:color="auto" w:sz="6" w:space="0"/>
              <w:right w:val="single" w:color="auto" w:sz="6" w:space="0"/>
            </w:tcBorders>
            <w:shd w:val="clear"/>
            <w:vAlign w:val="center"/>
          </w:tcPr>
          <w:p>
            <w:pPr>
              <w:keepNext w:val="0"/>
              <w:keepLines w:val="0"/>
              <w:widowControl/>
              <w:suppressLineNumbers w:val="0"/>
              <w:spacing w:line="23" w:lineRule="atLeast"/>
              <w:jc w:val="left"/>
              <w:rPr>
                <w:rFonts w:hint="eastAsia" w:ascii="宋体" w:hAnsi="宋体" w:eastAsia="宋体" w:cs="宋体"/>
                <w:sz w:val="21"/>
                <w:szCs w:val="21"/>
              </w:rPr>
            </w:pPr>
          </w:p>
        </w:tc>
      </w:tr>
    </w:tbl>
    <w:p>
      <w:pPr>
        <w:pStyle w:val="5"/>
        <w:keepNext w:val="0"/>
        <w:keepLines w:val="0"/>
        <w:widowControl/>
        <w:suppressLineNumbers w:val="0"/>
        <w:spacing w:after="0" w:afterAutospacing="0" w:line="450" w:lineRule="atLeast"/>
        <w:ind w:left="0" w:right="0"/>
        <w:jc w:val="left"/>
      </w:pPr>
      <w:r>
        <w:rPr>
          <w:rFonts w:hint="eastAsia" w:ascii="宋体" w:hAnsi="宋体" w:eastAsia="宋体" w:cs="宋体"/>
          <w:color w:val="000000"/>
          <w:sz w:val="28"/>
          <w:szCs w:val="28"/>
        </w:rPr>
        <w:t>     备注：最终招生专业及计划数以广东省教育考试院审核结果为准。</w:t>
      </w:r>
    </w:p>
    <w:p>
      <w:pPr>
        <w:pStyle w:val="13"/>
      </w:pPr>
      <w:r>
        <w:t>窗体底端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宋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7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33ABF"/>
    <w:rsid w:val="0993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0000"/>
      <w:u w:val="none"/>
    </w:rPr>
  </w:style>
  <w:style w:type="character" w:styleId="10">
    <w:name w:val="Emphasis"/>
    <w:basedOn w:val="7"/>
    <w:qFormat/>
    <w:uiPriority w:val="0"/>
    <w:rPr>
      <w:i/>
    </w:rPr>
  </w:style>
  <w:style w:type="character" w:styleId="11">
    <w:name w:val="Hyperlink"/>
    <w:basedOn w:val="7"/>
    <w:uiPriority w:val="0"/>
    <w:rPr>
      <w:color w:val="000000"/>
      <w:u w:val="none"/>
    </w:rPr>
  </w:style>
  <w:style w:type="paragraph" w:styleId="12">
    <w:name w:val=""/>
    <w:basedOn w:val="1"/>
    <w:next w:val="1"/>
    <w:uiPriority w:val="0"/>
    <w:pPr>
      <w:pBdr>
        <w:bottom w:val="single" w:color="auto" w:sz="6" w:space="1"/>
      </w:pBdr>
      <w:jc w:val="center"/>
    </w:pPr>
    <w:rPr>
      <w:rFonts w:ascii="Arial" w:eastAsia="宋体"/>
      <w:vanish/>
      <w:sz w:val="16"/>
    </w:rPr>
  </w:style>
  <w:style w:type="paragraph" w:styleId="13">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2021-01-24T02:58:00Z</dcterms:created>
  <dc:creator>王斌</dc:creator>
  <cp:lastModifiedBy>王斌</cp:lastModifiedBy>
  <dcterms:modified xsi:type="dcterms:W3CDTF">2021-01-24T04:01:52Z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