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B73BF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73BF"/>
          <w:spacing w:val="0"/>
          <w:sz w:val="30"/>
          <w:szCs w:val="30"/>
          <w:bdr w:val="none" w:color="auto" w:sz="0" w:space="0"/>
        </w:rPr>
        <w:t>辽宁省2021年职业教育对口升学考生填报志愿流程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2021年我省职业教育对口升学考生网上报名分成二个阶段。第一阶段：填报基本信息、网上缴费，现场资格审查和身份验证信息采集；第二阶段：完善基本信息、填报专业综合课、技能考核、志愿信息等。第二阶段具体操作流程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543425" cy="5172075"/>
            <wp:effectExtent l="0" t="0" r="9525" b="9525"/>
            <wp:docPr id="1" name="图片 1" descr="2021-04-14_0260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-04-14_02609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32555"/>
    <w:rsid w:val="04D3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2021-04-15T02:00:00Z</dcterms:created>
  <dc:creator>Administrator</dc:creator>
  <cp:lastModifiedBy>Administrator</cp:lastModifiedBy>
  <dcterms:modified xsi:type="dcterms:W3CDTF">2021-04-15T02:00:23Z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0FF2DC00B9DE4EDB93FE70336FB033E9</vt:lpwstr>
  </property>
</Properties>
</file>