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pPr>
      <w: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t>皖江工学院2025</w:t>
      </w:r>
      <w:bookmarkStart w:id="0" w:name="_GoBack"/>
      <w:bookmarkEnd w:id="0"/>
      <w: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t>年专升本考试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pPr>
      <w: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t>《管理学》考试大纲</w:t>
      </w:r>
    </w:p>
    <w:p>
      <w:pPr>
        <w:spacing w:line="0" w:lineRule="atLeast"/>
        <w:ind w:firstLine="640" w:firstLineChars="200"/>
        <w:jc w:val="left"/>
        <w:rPr>
          <w:rFonts w:hint="eastAsia" w:ascii="方正仿宋_GBK" w:eastAsia="方正仿宋_GBK"/>
          <w:sz w:val="32"/>
          <w:szCs w:val="32"/>
          <w:lang w:eastAsia="zh-CN"/>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一、总纲</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管理学》考试是我校酒店管理专业专升本招生考试专业课考试科目之一，考试对象为报考我校酒店管理专业的考生。为贯彻落实党中央国务院关于做好高校毕业生就业工作有关精神和国务院常务会议提出的扩大普通专升本规模要求，按照教育部部署和要求，根据《安徽省2022年普通高校专升本考试招生工作操作办法》文件精神，特制定本科目考试大纲。大纲制定力求反映本专业招生类型的特点，科学、公平、准确、规范地测评考生对管理学的概念、基本理论和方法的理解，明确基本管理职能，掌握各项职能的相关方法和技术，能够结合相关案例进行分析、研究，具备一定的分析问题和解决问题以及综合知识运用能力。考生可根据本大纲的内容和要求自行学习相关内容和掌握有关知识。考试采用笔试的方式进行（免笔试学生须参加面试），考试时间为120分钟。</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本大纲由皖江工学院</w:t>
      </w:r>
      <w:r>
        <w:rPr>
          <w:rFonts w:hint="eastAsia" w:ascii="仿宋" w:hAnsi="仿宋" w:eastAsia="仿宋" w:cs="仿宋"/>
          <w:i w:val="0"/>
          <w:caps w:val="0"/>
          <w:color w:val="auto"/>
          <w:spacing w:val="0"/>
          <w:kern w:val="2"/>
          <w:sz w:val="28"/>
          <w:szCs w:val="28"/>
          <w:highlight w:val="none"/>
          <w:shd w:val="clear" w:fill="FFFFFF"/>
          <w:lang w:val="en-US" w:eastAsia="zh-CN" w:bidi="ar-SA"/>
        </w:rPr>
        <w:t>管理学院</w:t>
      </w:r>
      <w:r>
        <w:rPr>
          <w:rFonts w:hint="eastAsia" w:ascii="仿宋" w:hAnsi="仿宋" w:eastAsia="仿宋" w:cs="仿宋"/>
          <w:i w:val="0"/>
          <w:caps w:val="0"/>
          <w:color w:val="auto"/>
          <w:spacing w:val="0"/>
          <w:kern w:val="2"/>
          <w:sz w:val="28"/>
          <w:szCs w:val="28"/>
          <w:shd w:val="clear" w:fill="FFFFFF"/>
          <w:lang w:val="en-US" w:eastAsia="zh-CN" w:bidi="ar-SA"/>
        </w:rPr>
        <w:t>负责解释。</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1"/>
        </w:numPr>
        <w:spacing w:line="0" w:lineRule="atLeast"/>
        <w:ind w:left="0" w:leftChars="0"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考核目标与要求</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考核考生对管理理论的形成过程、管理理论的基本框架、管理活动的基本职能的掌握，理解管理活动的基本规律，掌握管理活动的基本方法，了解管理学发展的新趋势及面临的挑战；具备一定的额环境分析、组织设计、沟通协调等能力，考察考生分析问题、解决问题及综合知识运用能力。</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要求考生理解管理的基本概念、管理理论和管理职能，熟悉工管理者的角色和技能，掌握管理学的对象和方法，具备分析问题和解决问题的基本能力。</w:t>
      </w:r>
    </w:p>
    <w:p>
      <w:pPr>
        <w:numPr>
          <w:ilvl w:val="0"/>
          <w:numId w:val="0"/>
        </w:num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0"/>
        </w:num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三、考试范围与要求</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第1章  管理与管理者    </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（1）相关概念辨析</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（2）管理职能</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（3）管理者类型及角色</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（4）管理者的基本技能。</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重点：管理四大职能、管理者三类角色、管理者三种技能 。</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第2章 管理理论的演进    </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（1）古典管理理论</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（2）行为科学理论</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（3）现代管理理论</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（4）管理思想的新发展</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重点：泰罗科学管理理论；梅奥的人际关系理论；人性假设理论。</w:t>
      </w:r>
    </w:p>
    <w:p>
      <w:pPr>
        <w:numPr>
          <w:ilvl w:val="0"/>
          <w:numId w:val="2"/>
        </w:num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计划工作</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（1）计划工作的内涵</w:t>
      </w:r>
    </w:p>
    <w:p>
      <w:pPr>
        <w:numPr>
          <w:ilvl w:val="0"/>
          <w:numId w:val="0"/>
        </w:num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（2）计划的类型与层次体系</w:t>
      </w:r>
    </w:p>
    <w:p>
      <w:pPr>
        <w:numPr>
          <w:ilvl w:val="0"/>
          <w:numId w:val="0"/>
        </w:num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（3）计划工作的程序与组织实施</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重点：滚动计划法和网络计划技术；计划工作的基本程序、目标管理的基本程序。</w:t>
      </w:r>
    </w:p>
    <w:p>
      <w:pPr>
        <w:numPr>
          <w:ilvl w:val="0"/>
          <w:numId w:val="2"/>
        </w:num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决策</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（1）决策的内涵</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（2）决策的原则与基本程序</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（3）决策的方法。</w:t>
      </w:r>
    </w:p>
    <w:p>
      <w:pPr>
        <w:numPr>
          <w:ilvl w:val="0"/>
          <w:numId w:val="0"/>
        </w:num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重点：4种不同的决策类型划分；7种定量决策方法和3种定性决策方法。</w:t>
      </w:r>
    </w:p>
    <w:p>
      <w:pPr>
        <w:numPr>
          <w:ilvl w:val="0"/>
          <w:numId w:val="0"/>
        </w:numPr>
        <w:spacing w:line="400" w:lineRule="exact"/>
        <w:ind w:firstLine="280" w:firstLineChars="100"/>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第5章 战略管理</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（1）战略及战略管理的内涵</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（2）战略环境分析</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（3）组织战略的层次及类型。</w:t>
      </w:r>
    </w:p>
    <w:p>
      <w:pPr>
        <w:numPr>
          <w:ilvl w:val="0"/>
          <w:numId w:val="0"/>
        </w:num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重点：SWOT分析法；战略的三大层次类型。 </w:t>
      </w:r>
    </w:p>
    <w:p>
      <w:pPr>
        <w:numPr>
          <w:ilvl w:val="0"/>
          <w:numId w:val="0"/>
        </w:numPr>
        <w:spacing w:line="400" w:lineRule="exact"/>
        <w:rPr>
          <w:rFonts w:hint="eastAsia" w:ascii="仿宋" w:hAnsi="仿宋" w:eastAsia="仿宋" w:cs="仿宋"/>
          <w:i w:val="0"/>
          <w:caps w:val="0"/>
          <w:color w:val="auto"/>
          <w:spacing w:val="0"/>
          <w:kern w:val="2"/>
          <w:sz w:val="28"/>
          <w:szCs w:val="28"/>
          <w:shd w:val="clear" w:fill="FFFFFF"/>
          <w:lang w:val="en-US" w:eastAsia="zh-CN" w:bidi="ar-SA"/>
        </w:rPr>
      </w:pP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第6章  组织结构设计  </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（1）组织工作概述</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（2）组织结构设计的任务与基本原则</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（3）集权、分权和授权</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（4）组织结构的基本类型</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重点：组织工作的基本程序；5种常见组织结构类型。</w:t>
      </w:r>
    </w:p>
    <w:p>
      <w:pPr>
        <w:numPr>
          <w:ilvl w:val="0"/>
          <w:numId w:val="0"/>
        </w:numPr>
        <w:spacing w:line="400" w:lineRule="exact"/>
        <w:ind w:leftChars="0"/>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第7章  组织变革与组织文化   </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（1）组织变革</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（2）非正式组织</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（3）组织文化。</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重点：正确对待组织变革遇到的阻力、正确对待非正式组织、正确对待组织文化。</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3"/>
        </w:num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 领导工作  </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（1）领导及领导者</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（2）领导者的素质理论</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（3）领导者的素质理论</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（4）领导权变理论及其应用</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重点：领导工作的3大作用；6个经典领导理论（勒温的领导风格理论、四分图理论、管理方格理论、费德勒模型、领导生命周期理论和途径—目标理论）。</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3"/>
        </w:numPr>
        <w:spacing w:line="400" w:lineRule="exact"/>
        <w:ind w:left="0"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激励</w:t>
      </w:r>
    </w:p>
    <w:p>
      <w:pPr>
        <w:numPr>
          <w:ilvl w:val="0"/>
          <w:numId w:val="4"/>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激励的基本模式</w:t>
      </w:r>
    </w:p>
    <w:p>
      <w:pPr>
        <w:numPr>
          <w:ilvl w:val="0"/>
          <w:numId w:val="4"/>
        </w:numPr>
        <w:spacing w:line="400" w:lineRule="exact"/>
        <w:ind w:left="0"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经典激励理论及其启示</w:t>
      </w:r>
    </w:p>
    <w:p>
      <w:pPr>
        <w:numPr>
          <w:ilvl w:val="0"/>
          <w:numId w:val="4"/>
        </w:numPr>
        <w:spacing w:line="400" w:lineRule="exact"/>
        <w:ind w:left="0"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激励实务</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重点：激励的基本步骤；六大经典激励理论的内涵及其对管理实践的启示。</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3"/>
        </w:numPr>
        <w:spacing w:line="400" w:lineRule="exact"/>
        <w:ind w:left="0"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 沟通   </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（1）沟通概述；</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（2）沟通的方向与网络；</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（3）沟通的障碍与克服的方法；</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（4）冲突管理</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重点：沟通的基本过程；四种常见的沟通方式。</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3"/>
        </w:numPr>
        <w:spacing w:line="400" w:lineRule="exact"/>
        <w:ind w:left="0"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 控制工作 </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（1）控制与控制的基本类型</w:t>
      </w:r>
    </w:p>
    <w:p>
      <w:pPr>
        <w:numPr>
          <w:ilvl w:val="0"/>
          <w:numId w:val="5"/>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控制的基本过程和基本要求</w:t>
      </w:r>
    </w:p>
    <w:p>
      <w:pPr>
        <w:numPr>
          <w:ilvl w:val="0"/>
          <w:numId w:val="5"/>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控制的重点对象和方法。</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重点：常见的三种控制类型；控制的基本过程。</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3"/>
        </w:numPr>
        <w:spacing w:line="400" w:lineRule="exact"/>
        <w:ind w:left="0"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 管理伦理与社会责任 </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（1）管理与伦理</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（2）企业社会责任概述。</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重点：企业社会责任的7大表现形式；伦理与管理的关系、企业经营业绩与社会责任的联系。</w:t>
      </w:r>
    </w:p>
    <w:p>
      <w:pPr>
        <w:numPr>
          <w:ilvl w:val="0"/>
          <w:numId w:val="0"/>
        </w:numPr>
        <w:spacing w:line="0" w:lineRule="atLeast"/>
        <w:ind w:leftChars="0"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  </w:t>
      </w:r>
    </w:p>
    <w:p>
      <w:pPr>
        <w:numPr>
          <w:ilvl w:val="0"/>
          <w:numId w:val="0"/>
        </w:numPr>
        <w:spacing w:line="0" w:lineRule="atLeast"/>
        <w:ind w:leftChars="0"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四、考试教材与参考书</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1．教材：</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李海峰、张莹主编，《管理学——原理与实务》（第3版），人民邮电出版社，2018年1月</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2．参考书：</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周三多 主编《管理学——原理与方法》(第7版)，复旦大学出版社.2018年6月</w:t>
      </w:r>
    </w:p>
    <w:p>
      <w:pPr>
        <w:spacing w:line="400" w:lineRule="exact"/>
        <w:rPr>
          <w:rFonts w:hint="eastAsia" w:ascii="仿宋" w:hAnsi="仿宋" w:eastAsia="仿宋" w:cs="仿宋"/>
          <w:i w:val="0"/>
          <w:caps w:val="0"/>
          <w:color w:val="auto"/>
          <w:spacing w:val="0"/>
          <w:kern w:val="2"/>
          <w:sz w:val="28"/>
          <w:szCs w:val="28"/>
          <w:shd w:val="clear" w:fill="FFFFFF"/>
          <w:lang w:val="en-US" w:eastAsia="zh-CN" w:bidi="ar-SA"/>
        </w:rPr>
      </w:pPr>
    </w:p>
    <w:p>
      <w:pPr>
        <w:widowControl w:val="0"/>
        <w:numPr>
          <w:ilvl w:val="0"/>
          <w:numId w:val="0"/>
        </w:num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widowControl w:val="0"/>
        <w:numPr>
          <w:ilvl w:val="0"/>
          <w:numId w:val="0"/>
        </w:num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widowControl w:val="0"/>
        <w:numPr>
          <w:ilvl w:val="0"/>
          <w:numId w:val="0"/>
        </w:num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widowControl w:val="0"/>
        <w:numPr>
          <w:ilvl w:val="0"/>
          <w:numId w:val="0"/>
        </w:num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widowControl w:val="0"/>
        <w:numPr>
          <w:ilvl w:val="0"/>
          <w:numId w:val="0"/>
        </w:num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widowControl w:val="0"/>
        <w:numPr>
          <w:ilvl w:val="0"/>
          <w:numId w:val="0"/>
        </w:num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widowControl w:val="0"/>
        <w:numPr>
          <w:ilvl w:val="0"/>
          <w:numId w:val="0"/>
        </w:num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rPr>
          <w:rFonts w:hint="eastAsia" w:ascii="仿宋" w:hAnsi="仿宋" w:eastAsia="仿宋" w:cs="仿宋"/>
          <w:i w:val="0"/>
          <w:caps w:val="0"/>
          <w:color w:val="auto"/>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FF29E"/>
    <w:multiLevelType w:val="singleLevel"/>
    <w:tmpl w:val="99EFF29E"/>
    <w:lvl w:ilvl="0" w:tentative="0">
      <w:start w:val="2"/>
      <w:numFmt w:val="decimal"/>
      <w:suff w:val="nothing"/>
      <w:lvlText w:val="（%1）"/>
      <w:lvlJc w:val="left"/>
    </w:lvl>
  </w:abstractNum>
  <w:abstractNum w:abstractNumId="1">
    <w:nsid w:val="B8AA3FBE"/>
    <w:multiLevelType w:val="singleLevel"/>
    <w:tmpl w:val="B8AA3FBE"/>
    <w:lvl w:ilvl="0" w:tentative="0">
      <w:start w:val="2"/>
      <w:numFmt w:val="chineseCounting"/>
      <w:suff w:val="nothing"/>
      <w:lvlText w:val="%1、"/>
      <w:lvlJc w:val="left"/>
      <w:rPr>
        <w:rFonts w:hint="eastAsia"/>
      </w:rPr>
    </w:lvl>
  </w:abstractNum>
  <w:abstractNum w:abstractNumId="2">
    <w:nsid w:val="C38ABBA9"/>
    <w:multiLevelType w:val="singleLevel"/>
    <w:tmpl w:val="C38ABBA9"/>
    <w:lvl w:ilvl="0" w:tentative="0">
      <w:start w:val="8"/>
      <w:numFmt w:val="decimal"/>
      <w:suff w:val="space"/>
      <w:lvlText w:val="第%1章"/>
      <w:lvlJc w:val="left"/>
    </w:lvl>
  </w:abstractNum>
  <w:abstractNum w:abstractNumId="3">
    <w:nsid w:val="0B7EDF01"/>
    <w:multiLevelType w:val="singleLevel"/>
    <w:tmpl w:val="0B7EDF01"/>
    <w:lvl w:ilvl="0" w:tentative="0">
      <w:start w:val="1"/>
      <w:numFmt w:val="decimal"/>
      <w:suff w:val="nothing"/>
      <w:lvlText w:val="（%1）"/>
      <w:lvlJc w:val="left"/>
    </w:lvl>
  </w:abstractNum>
  <w:abstractNum w:abstractNumId="4">
    <w:nsid w:val="4C8D8C6D"/>
    <w:multiLevelType w:val="singleLevel"/>
    <w:tmpl w:val="4C8D8C6D"/>
    <w:lvl w:ilvl="0" w:tentative="0">
      <w:start w:val="3"/>
      <w:numFmt w:val="decimal"/>
      <w:suff w:val="space"/>
      <w:lvlText w:val="第%1章"/>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40CE5CD7"/>
    <w:rsid w:val="055E1D8A"/>
    <w:rsid w:val="0A0B0691"/>
    <w:rsid w:val="0BA55F63"/>
    <w:rsid w:val="0C73637D"/>
    <w:rsid w:val="13926498"/>
    <w:rsid w:val="1FEF447A"/>
    <w:rsid w:val="25AA1B8B"/>
    <w:rsid w:val="2E62460A"/>
    <w:rsid w:val="31EE7BD1"/>
    <w:rsid w:val="32C566F9"/>
    <w:rsid w:val="3565070D"/>
    <w:rsid w:val="362B2A5B"/>
    <w:rsid w:val="3B7B3FE0"/>
    <w:rsid w:val="3F0B64C2"/>
    <w:rsid w:val="40CE5CD7"/>
    <w:rsid w:val="417D0926"/>
    <w:rsid w:val="4D841907"/>
    <w:rsid w:val="527E67A6"/>
    <w:rsid w:val="5BF61600"/>
    <w:rsid w:val="62D65AAC"/>
    <w:rsid w:val="6A824AC6"/>
    <w:rsid w:val="6A9B5818"/>
    <w:rsid w:val="6B796B16"/>
    <w:rsid w:val="6C4A4EB4"/>
    <w:rsid w:val="6D0D752A"/>
    <w:rsid w:val="7017209C"/>
    <w:rsid w:val="7265370D"/>
    <w:rsid w:val="761E2A4D"/>
    <w:rsid w:val="79A4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22"/>
    <w:rPr>
      <w:b/>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2020-04-14T07:53:00Z</dcterms:created>
  <dc:creator>立秋</dc:creator>
  <cp:lastModifiedBy>三水君</cp:lastModifiedBy>
  <dcterms:modified xsi:type="dcterms:W3CDTF">2024-10-29T00:20:36Z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64D27981E5D042488C4F832FB373DAA6_12</vt:lpwstr>
  </property>
</Properties>
</file>