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202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eastAsia" w:ascii="黑体" w:hAnsi="黑体" w:eastAsia="黑体"/>
          <w:b/>
          <w:sz w:val="32"/>
          <w:szCs w:val="32"/>
        </w:rPr>
        <w:t>年专升本《管理学》考试大纲</w:t>
      </w:r>
    </w:p>
    <w:p>
      <w:pPr>
        <w:spacing w:line="360" w:lineRule="auto"/>
        <w:ind w:firstLine="562" w:firstLineChars="200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一、总纲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大纲适用于：安徽属普通高校（以及经过批准举办普通高等职业教育的成人高等院校）的应届全日制普通高职（专科）毕业生；安徽省高校毕业的具有普通高职（专科）学历的退役士兵。考试是国家承认的招收专科学生升入本科阶段学习的选拔性考试，旨在考核学生对于本课程是否达到进入本科学习水平的基本要求。考试需在统一规定的时间内，采用闭卷方式进行。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本大纲旨在规定课程学习和考试的内容和范围，是实施课程考试的重要依据，也是指导学生高效学习的纲领性文件，有助于考试标准的规范化和具体化。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大纲的制定旨在贯彻国家和安徽省的相关要求，依据有关政策文件，根据“宽口径、厚基础、强能力、高素质”的原则，实现培养企事业单位管理中高级应用性人才的目标。考查内容围绕管理活动中的管理者的职能决策、组织、领导、控制等内容展开，使学生具备坚实的现代企业管理与现代商务管理的理论基础，掌握</w:t>
      </w:r>
      <w:r>
        <w:fldChar w:fldCharType="begin"/>
      </w:r>
      <w:r>
        <w:instrText xml:space="preserve"> HYPERLINK "https://baike.baidu.com/item/%E7%AE%A1%E7%90%86%E6%80%9D%E6%83%B3" \t "_blank" </w:instrText>
      </w:r>
      <w: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管理思想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t>、管理原理和</w:t>
      </w:r>
      <w:r>
        <w:fldChar w:fldCharType="begin"/>
      </w:r>
      <w:r>
        <w:instrText xml:space="preserve"> HYPERLINK "https://baike.baidu.com/item/%E7%AE%A1%E7%90%86%E6%96%B9%E6%B3%95" \t "_blank" </w:instrText>
      </w:r>
      <w: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管理方法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t>，熟练应用管理工具开展现代企业管理活动。考试以管理科学相关理论知识为基础，强调课程的综合性和实践应用性，通过对各章节知识要点的扎实掌握和融会贯通实现创新性。</w:t>
      </w:r>
    </w:p>
    <w:p>
      <w:pPr>
        <w:spacing w:line="360" w:lineRule="auto"/>
        <w:ind w:firstLine="562" w:firstLineChars="200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二、学科考查内容纲要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（一）考核目标与要求</w:t>
      </w:r>
    </w:p>
    <w:p>
      <w:pPr>
        <w:pStyle w:val="5"/>
        <w:widowControl/>
        <w:spacing w:beforeAutospacing="0" w:afterAutospacing="0"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本课程考试参考书目：马克思主义理论研究和建设工程重点教材《管理学》，陈传明主编，高等教育出版社，2019年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《管理学》课程是管理大类专业的核心基础课程，在工商管理相关专业课程体系中有着重要的地位和作用。通过对管理学相关概念、基本理论、管理流程以及案例的教学，培养学生对企事业管理相关领域的学习与探究兴趣，解决管理领域基本问题与现象的能力，使得学生具备更为扎实和全面的学科素养。具体包括：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1.能力目标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具有较强的语言与文字表达、人际沟通以及分析和解决企业管理实际问题的基本能力； </w:t>
      </w:r>
      <w:r>
        <w:rPr>
          <w:rFonts w:hint="eastAsia" w:ascii="仿宋" w:hAnsi="仿宋" w:eastAsia="仿宋" w:cs="仿宋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sz w:val="28"/>
          <w:szCs w:val="28"/>
        </w:rPr>
        <w:t xml:space="preserve">    掌握文献检索、资料查询的基本方法，具有一定的科学研究和实际工作能力。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2.知识目标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掌握管理学、经济学的基本原理和现代企业管理的基本理论、基本知识； </w:t>
      </w:r>
      <w:r>
        <w:rPr>
          <w:rFonts w:hint="eastAsia" w:ascii="仿宋" w:hAnsi="仿宋" w:eastAsia="仿宋" w:cs="仿宋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sz w:val="28"/>
          <w:szCs w:val="28"/>
        </w:rPr>
        <w:t xml:space="preserve">    掌握企业管理的定性、定量分析方法； 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熟悉我国企业管理的有关方针、政策和法规以及国际企业管理的惯例与规则； </w:t>
      </w:r>
      <w:r>
        <w:rPr>
          <w:rFonts w:hint="eastAsia" w:ascii="仿宋" w:hAnsi="仿宋" w:eastAsia="仿宋" w:cs="仿宋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sz w:val="28"/>
          <w:szCs w:val="28"/>
        </w:rPr>
        <w:t xml:space="preserve">    了解本学科的理论前沿和发展动态。 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3.素质目标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培养学生的团队协作能力、社会责任意识以及诚实经营的品德；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培养学生良好的人际交流与沟通能力；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培养学生分析问题解决问题的能力，及在实践中不断创新的能力；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培养学生吃苦耐劳的敬业精神和职业素养。</w:t>
      </w:r>
    </w:p>
    <w:p>
      <w:pPr>
        <w:pStyle w:val="5"/>
        <w:widowControl/>
        <w:spacing w:beforeAutospacing="0" w:afterAutospacing="0" w:line="360" w:lineRule="auto"/>
        <w:ind w:firstLine="562" w:firstLineChars="200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(二) 考核知识点与考核目标</w:t>
      </w:r>
    </w:p>
    <w:p>
      <w:pPr>
        <w:pStyle w:val="5"/>
        <w:widowControl/>
        <w:spacing w:beforeAutospacing="0" w:afterAutospacing="0"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第一章 总论</w:t>
      </w:r>
    </w:p>
    <w:p>
      <w:pPr>
        <w:pStyle w:val="5"/>
        <w:widowControl/>
        <w:spacing w:beforeAutospacing="0" w:afterAutospacing="0"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第一节 管理的内涵与本质</w:t>
      </w:r>
    </w:p>
    <w:p>
      <w:pPr>
        <w:pStyle w:val="5"/>
        <w:widowControl/>
        <w:spacing w:beforeAutospacing="0" w:afterAutospacing="0"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第二节 管理的基本原理</w:t>
      </w:r>
    </w:p>
    <w:p>
      <w:pPr>
        <w:pStyle w:val="5"/>
        <w:widowControl/>
        <w:spacing w:beforeAutospacing="0" w:afterAutospacing="0"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第二章 管理理论的历史演变</w:t>
      </w:r>
    </w:p>
    <w:p>
      <w:pPr>
        <w:pStyle w:val="5"/>
        <w:widowControl/>
        <w:spacing w:beforeAutospacing="0" w:afterAutospacing="0"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第一节 古典管理理论（重点）</w:t>
      </w:r>
    </w:p>
    <w:p>
      <w:pPr>
        <w:pStyle w:val="14"/>
        <w:spacing w:line="360" w:lineRule="auto"/>
        <w:ind w:firstLine="560"/>
        <w:jc w:val="left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泰罗的科学管理理论的主要内容</w:t>
      </w:r>
    </w:p>
    <w:p>
      <w:pPr>
        <w:pStyle w:val="14"/>
        <w:spacing w:line="360" w:lineRule="auto"/>
        <w:ind w:firstLine="560"/>
        <w:jc w:val="left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法约尔组织理论的主要内容</w:t>
      </w:r>
    </w:p>
    <w:p>
      <w:pPr>
        <w:pStyle w:val="14"/>
        <w:spacing w:line="360" w:lineRule="auto"/>
        <w:ind w:firstLine="560"/>
        <w:jc w:val="left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韦伯的科层制组织体系的主要内容</w:t>
      </w:r>
    </w:p>
    <w:p>
      <w:pPr>
        <w:pStyle w:val="14"/>
        <w:numPr>
          <w:ilvl w:val="0"/>
          <w:numId w:val="1"/>
        </w:numPr>
        <w:spacing w:line="360" w:lineRule="auto"/>
        <w:ind w:firstLine="560"/>
        <w:jc w:val="left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现代管理流派</w:t>
      </w:r>
    </w:p>
    <w:p>
      <w:pPr>
        <w:pStyle w:val="14"/>
        <w:numPr>
          <w:ilvl w:val="0"/>
          <w:numId w:val="1"/>
        </w:numPr>
        <w:spacing w:line="360" w:lineRule="auto"/>
        <w:ind w:firstLine="560"/>
        <w:jc w:val="left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当代管理理论</w:t>
      </w:r>
    </w:p>
    <w:p>
      <w:pPr>
        <w:pStyle w:val="5"/>
        <w:widowControl/>
        <w:spacing w:beforeAutospacing="0" w:afterAutospacing="0"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第三章 决策与决策过程</w:t>
      </w:r>
    </w:p>
    <w:p>
      <w:pPr>
        <w:pStyle w:val="5"/>
        <w:widowControl/>
        <w:spacing w:beforeAutospacing="0" w:afterAutospacing="0"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第一节 决策及其任务</w:t>
      </w:r>
    </w:p>
    <w:p>
      <w:pPr>
        <w:pStyle w:val="14"/>
        <w:spacing w:line="360" w:lineRule="auto"/>
        <w:ind w:firstLine="560"/>
        <w:jc w:val="left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决策的概念和要素</w:t>
      </w:r>
    </w:p>
    <w:p>
      <w:pPr>
        <w:pStyle w:val="14"/>
        <w:spacing w:line="360" w:lineRule="auto"/>
        <w:ind w:firstLine="560"/>
        <w:jc w:val="left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决策与计划</w:t>
      </w:r>
    </w:p>
    <w:p>
      <w:pPr>
        <w:pStyle w:val="5"/>
        <w:widowControl/>
        <w:spacing w:beforeAutospacing="0" w:afterAutospacing="0"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第二节 决策的类型与特征（一般）</w:t>
      </w:r>
    </w:p>
    <w:p>
      <w:pPr>
        <w:pStyle w:val="5"/>
        <w:widowControl/>
        <w:spacing w:beforeAutospacing="0" w:afterAutospacing="0"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第三节 决策过程与影响因素与准则（重点）</w:t>
      </w:r>
    </w:p>
    <w:p>
      <w:pPr>
        <w:pStyle w:val="5"/>
        <w:widowControl/>
        <w:spacing w:beforeAutospacing="0" w:afterAutospacing="0"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第四章 环境分析与理性决策</w:t>
      </w:r>
    </w:p>
    <w:p>
      <w:pPr>
        <w:pStyle w:val="5"/>
        <w:widowControl/>
        <w:spacing w:beforeAutospacing="0" w:afterAutospacing="0"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第一节 组织的内外部环境要素（一般））</w:t>
      </w:r>
    </w:p>
    <w:p>
      <w:pPr>
        <w:pStyle w:val="5"/>
        <w:widowControl/>
        <w:spacing w:beforeAutospacing="0" w:afterAutospacing="0"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第二节 理性决策与非理性决策</w:t>
      </w:r>
    </w:p>
    <w:p>
      <w:pPr>
        <w:pStyle w:val="5"/>
        <w:widowControl/>
        <w:spacing w:beforeAutospacing="0" w:afterAutospacing="0"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第三节 决策的方法</w:t>
      </w:r>
    </w:p>
    <w:p>
      <w:pPr>
        <w:pStyle w:val="5"/>
        <w:widowControl/>
        <w:spacing w:beforeAutospacing="0" w:afterAutospacing="0"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活动方案生产的方法（一般）</w:t>
      </w:r>
    </w:p>
    <w:p>
      <w:pPr>
        <w:pStyle w:val="5"/>
        <w:widowControl/>
        <w:spacing w:beforeAutospacing="0" w:afterAutospacing="0"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选择活动方案的评价方法</w:t>
      </w:r>
    </w:p>
    <w:p>
      <w:pPr>
        <w:pStyle w:val="5"/>
        <w:widowControl/>
        <w:numPr>
          <w:ilvl w:val="0"/>
          <w:numId w:val="2"/>
        </w:numPr>
        <w:spacing w:beforeAutospacing="0" w:afterAutospacing="0"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决策的实施与调整</w:t>
      </w:r>
    </w:p>
    <w:p>
      <w:pPr>
        <w:pStyle w:val="5"/>
        <w:widowControl/>
        <w:spacing w:beforeAutospacing="0" w:afterAutospacing="0"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第一节 实施决策的计划与制定</w:t>
      </w:r>
    </w:p>
    <w:p>
      <w:pPr>
        <w:pStyle w:val="5"/>
        <w:widowControl/>
        <w:spacing w:beforeAutospacing="0" w:afterAutospacing="0"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计划的类型</w:t>
      </w:r>
    </w:p>
    <w:p>
      <w:pPr>
        <w:pStyle w:val="5"/>
        <w:widowControl/>
        <w:spacing w:beforeAutospacing="0" w:afterAutospacing="0"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计划编制的过程与方法</w:t>
      </w:r>
    </w:p>
    <w:p>
      <w:pPr>
        <w:pStyle w:val="5"/>
        <w:widowControl/>
        <w:spacing w:beforeAutospacing="0" w:afterAutospacing="0"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第二节 推进计划的流程和方法（一般）</w:t>
      </w:r>
    </w:p>
    <w:p>
      <w:pPr>
        <w:pStyle w:val="5"/>
        <w:widowControl/>
        <w:spacing w:beforeAutospacing="0" w:afterAutospacing="0"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目标管理</w:t>
      </w:r>
    </w:p>
    <w:p>
      <w:pPr>
        <w:pStyle w:val="5"/>
        <w:widowControl/>
        <w:spacing w:beforeAutospacing="0" w:afterAutospacing="0"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PDCA循环</w:t>
      </w:r>
    </w:p>
    <w:p>
      <w:pPr>
        <w:pStyle w:val="5"/>
        <w:widowControl/>
        <w:spacing w:beforeAutospacing="0" w:afterAutospacing="0"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第六章 组织设计</w:t>
      </w:r>
    </w:p>
    <w:p>
      <w:pPr>
        <w:pStyle w:val="5"/>
        <w:widowControl/>
        <w:spacing w:beforeAutospacing="0" w:afterAutospacing="0"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第一节 组织设计的任务与影响因素</w:t>
      </w:r>
    </w:p>
    <w:p>
      <w:pPr>
        <w:pStyle w:val="5"/>
        <w:widowControl/>
        <w:spacing w:beforeAutospacing="0" w:afterAutospacing="0"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组织设计的原则</w:t>
      </w:r>
    </w:p>
    <w:p>
      <w:pPr>
        <w:pStyle w:val="5"/>
        <w:widowControl/>
        <w:spacing w:beforeAutospacing="0" w:afterAutospacing="0"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第二节 组织结构（一般）</w:t>
      </w:r>
    </w:p>
    <w:p>
      <w:pPr>
        <w:pStyle w:val="14"/>
        <w:spacing w:line="360" w:lineRule="auto"/>
        <w:ind w:firstLine="560"/>
        <w:jc w:val="left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机械式组织与有机组织</w:t>
      </w:r>
    </w:p>
    <w:p>
      <w:pPr>
        <w:pStyle w:val="14"/>
        <w:spacing w:line="360" w:lineRule="auto"/>
        <w:ind w:firstLine="560"/>
        <w:jc w:val="left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组织结构的形式</w:t>
      </w:r>
    </w:p>
    <w:p>
      <w:pPr>
        <w:pStyle w:val="14"/>
        <w:spacing w:line="360" w:lineRule="auto"/>
        <w:ind w:firstLine="560"/>
        <w:jc w:val="left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组织结构的演变趋势</w:t>
      </w:r>
    </w:p>
    <w:p>
      <w:pPr>
        <w:pStyle w:val="5"/>
        <w:widowControl/>
        <w:spacing w:beforeAutospacing="0" w:afterAutospacing="0"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第三节 组织整合（重点）</w:t>
      </w:r>
    </w:p>
    <w:p>
      <w:pPr>
        <w:pStyle w:val="14"/>
        <w:spacing w:line="360" w:lineRule="auto"/>
        <w:ind w:firstLine="560"/>
        <w:jc w:val="left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正式组织与非正式组织的整合</w:t>
      </w:r>
    </w:p>
    <w:p>
      <w:pPr>
        <w:pStyle w:val="14"/>
        <w:spacing w:line="360" w:lineRule="auto"/>
        <w:ind w:firstLine="560"/>
        <w:jc w:val="left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层级整合</w:t>
      </w:r>
    </w:p>
    <w:p>
      <w:pPr>
        <w:pStyle w:val="14"/>
        <w:spacing w:line="360" w:lineRule="auto"/>
        <w:ind w:firstLine="560"/>
        <w:jc w:val="left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直线与参谋整合</w:t>
      </w:r>
    </w:p>
    <w:p>
      <w:pPr>
        <w:pStyle w:val="5"/>
        <w:widowControl/>
        <w:spacing w:beforeAutospacing="0" w:afterAutospacing="0"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第七章 人员配备</w:t>
      </w:r>
    </w:p>
    <w:p>
      <w:pPr>
        <w:pStyle w:val="5"/>
        <w:widowControl/>
        <w:spacing w:beforeAutospacing="0" w:afterAutospacing="0"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第一节 人员配备的任务、工作内容和原则</w:t>
      </w:r>
    </w:p>
    <w:p>
      <w:pPr>
        <w:pStyle w:val="14"/>
        <w:spacing w:line="360" w:lineRule="auto"/>
        <w:ind w:firstLine="560"/>
        <w:jc w:val="left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人员配备的原则</w:t>
      </w:r>
    </w:p>
    <w:p>
      <w:pPr>
        <w:pStyle w:val="5"/>
        <w:widowControl/>
        <w:spacing w:beforeAutospacing="0" w:afterAutospacing="0"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第二节 人员的选聘</w:t>
      </w:r>
    </w:p>
    <w:p>
      <w:pPr>
        <w:pStyle w:val="5"/>
        <w:widowControl/>
        <w:spacing w:beforeAutospacing="0" w:afterAutospacing="0"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人员的来源</w:t>
      </w:r>
    </w:p>
    <w:p>
      <w:pPr>
        <w:pStyle w:val="5"/>
        <w:widowControl/>
        <w:spacing w:beforeAutospacing="0" w:afterAutospacing="0"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人员选聘的标准</w:t>
      </w:r>
    </w:p>
    <w:p>
      <w:pPr>
        <w:pStyle w:val="5"/>
        <w:widowControl/>
        <w:spacing w:beforeAutospacing="0" w:afterAutospacing="0"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人员选聘的途径与方法</w:t>
      </w:r>
    </w:p>
    <w:p>
      <w:pPr>
        <w:pStyle w:val="5"/>
        <w:widowControl/>
        <w:numPr>
          <w:ilvl w:val="0"/>
          <w:numId w:val="3"/>
        </w:numPr>
        <w:spacing w:beforeAutospacing="0" w:afterAutospacing="0"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组织文化</w:t>
      </w:r>
    </w:p>
    <w:p>
      <w:pPr>
        <w:pStyle w:val="5"/>
        <w:widowControl/>
        <w:numPr>
          <w:ilvl w:val="0"/>
          <w:numId w:val="4"/>
        </w:numPr>
        <w:spacing w:beforeAutospacing="0" w:afterAutospacing="0"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组织文化的概念与分类</w:t>
      </w:r>
    </w:p>
    <w:p>
      <w:pPr>
        <w:pStyle w:val="5"/>
        <w:widowControl/>
        <w:numPr>
          <w:ilvl w:val="0"/>
          <w:numId w:val="4"/>
        </w:numPr>
        <w:spacing w:beforeAutospacing="0" w:afterAutospacing="0"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组织文化的构成与功能</w:t>
      </w:r>
    </w:p>
    <w:p>
      <w:pPr>
        <w:pStyle w:val="5"/>
        <w:widowControl/>
        <w:numPr>
          <w:ilvl w:val="0"/>
          <w:numId w:val="3"/>
        </w:numPr>
        <w:spacing w:beforeAutospacing="0" w:afterAutospacing="0"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领导的一般理论</w:t>
      </w:r>
    </w:p>
    <w:p>
      <w:pPr>
        <w:pStyle w:val="14"/>
        <w:spacing w:line="360" w:lineRule="auto"/>
        <w:ind w:firstLine="56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第一节 领导的内涵与特征（重点）</w:t>
      </w:r>
    </w:p>
    <w:p>
      <w:pPr>
        <w:pStyle w:val="14"/>
        <w:spacing w:line="360" w:lineRule="auto"/>
        <w:ind w:firstLine="560"/>
        <w:jc w:val="left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领导与管理</w:t>
      </w:r>
    </w:p>
    <w:p>
      <w:pPr>
        <w:pStyle w:val="14"/>
        <w:spacing w:line="360" w:lineRule="auto"/>
        <w:ind w:firstLine="560"/>
        <w:jc w:val="left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领导权力的来源</w:t>
      </w:r>
    </w:p>
    <w:p>
      <w:pPr>
        <w:pStyle w:val="14"/>
        <w:spacing w:line="360" w:lineRule="auto"/>
        <w:ind w:firstLine="560"/>
        <w:jc w:val="left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领导三要素</w:t>
      </w:r>
    </w:p>
    <w:p>
      <w:pPr>
        <w:pStyle w:val="5"/>
        <w:widowControl/>
        <w:spacing w:beforeAutospacing="0" w:afterAutospacing="0"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第二节 领导与领导者（重点）</w:t>
      </w:r>
    </w:p>
    <w:p>
      <w:pPr>
        <w:pStyle w:val="5"/>
        <w:widowControl/>
        <w:spacing w:beforeAutospacing="0" w:afterAutospacing="0"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第三节 领导与被领导者（重点）</w:t>
      </w:r>
    </w:p>
    <w:p>
      <w:pPr>
        <w:pStyle w:val="5"/>
        <w:widowControl/>
        <w:spacing w:beforeAutospacing="0" w:afterAutospacing="0"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情境领导模型（一般）</w:t>
      </w:r>
    </w:p>
    <w:p>
      <w:pPr>
        <w:pStyle w:val="5"/>
        <w:widowControl/>
        <w:spacing w:beforeAutospacing="0" w:afterAutospacing="0"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领导者角色理论（一般）</w:t>
      </w:r>
    </w:p>
    <w:p>
      <w:pPr>
        <w:pStyle w:val="5"/>
        <w:widowControl/>
        <w:spacing w:beforeAutospacing="0" w:afterAutospacing="0"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第四节 领导与情境</w:t>
      </w:r>
    </w:p>
    <w:p>
      <w:pPr>
        <w:pStyle w:val="5"/>
        <w:widowControl/>
        <w:spacing w:beforeAutospacing="0" w:afterAutospacing="0"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第十章 激励</w:t>
      </w:r>
    </w:p>
    <w:p>
      <w:pPr>
        <w:pStyle w:val="5"/>
        <w:widowControl/>
        <w:spacing w:beforeAutospacing="0" w:afterAutospacing="0"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第一节 激励基础</w:t>
      </w:r>
    </w:p>
    <w:p>
      <w:pPr>
        <w:pStyle w:val="5"/>
        <w:widowControl/>
        <w:spacing w:beforeAutospacing="0" w:afterAutospacing="0"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第二节 激励理论（重点）</w:t>
      </w:r>
    </w:p>
    <w:p>
      <w:pPr>
        <w:pStyle w:val="14"/>
        <w:spacing w:line="360" w:lineRule="auto"/>
        <w:ind w:firstLine="560"/>
        <w:jc w:val="left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行为基础理论</w:t>
      </w:r>
    </w:p>
    <w:p>
      <w:pPr>
        <w:pStyle w:val="14"/>
        <w:spacing w:line="360" w:lineRule="auto"/>
        <w:ind w:firstLine="560"/>
        <w:jc w:val="left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过程激励理论</w:t>
      </w:r>
    </w:p>
    <w:p>
      <w:pPr>
        <w:pStyle w:val="14"/>
        <w:spacing w:line="360" w:lineRule="auto"/>
        <w:ind w:firstLine="560"/>
        <w:jc w:val="left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行为强化理论</w:t>
      </w:r>
    </w:p>
    <w:p>
      <w:pPr>
        <w:pStyle w:val="5"/>
        <w:widowControl/>
        <w:spacing w:beforeAutospacing="0" w:afterAutospacing="0"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第三节 激励的方法</w:t>
      </w:r>
    </w:p>
    <w:p>
      <w:pPr>
        <w:pStyle w:val="5"/>
        <w:widowControl/>
        <w:spacing w:beforeAutospacing="0" w:afterAutospacing="0"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第十一章 沟通</w:t>
      </w:r>
    </w:p>
    <w:p>
      <w:pPr>
        <w:pStyle w:val="14"/>
        <w:spacing w:line="360" w:lineRule="auto"/>
        <w:ind w:firstLine="560"/>
        <w:jc w:val="left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z w:val="28"/>
          <w:szCs w:val="28"/>
        </w:rPr>
        <w:t>第一节 沟通与沟通的类型（一般）</w:t>
      </w:r>
    </w:p>
    <w:p>
      <w:pPr>
        <w:pStyle w:val="5"/>
        <w:widowControl/>
        <w:spacing w:beforeAutospacing="0" w:afterAutospacing="0"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第二节 沟通障碍及其克服（一般）</w:t>
      </w:r>
    </w:p>
    <w:p>
      <w:pPr>
        <w:pStyle w:val="5"/>
        <w:widowControl/>
        <w:spacing w:beforeAutospacing="0" w:afterAutospacing="0"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第三节 冲突及其管理</w:t>
      </w:r>
    </w:p>
    <w:p>
      <w:pPr>
        <w:pStyle w:val="5"/>
        <w:widowControl/>
        <w:spacing w:beforeAutospacing="0" w:afterAutospacing="0"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第十二章  控制的类型与过程</w:t>
      </w:r>
    </w:p>
    <w:p>
      <w:pPr>
        <w:pStyle w:val="5"/>
        <w:widowControl/>
        <w:spacing w:beforeAutospacing="0" w:afterAutospacing="0"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第二节 控制的类型</w:t>
      </w:r>
    </w:p>
    <w:p>
      <w:pPr>
        <w:pStyle w:val="5"/>
        <w:widowControl/>
        <w:spacing w:beforeAutospacing="0" w:afterAutospacing="0"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第三节 控制的过程（一般）</w:t>
      </w:r>
    </w:p>
    <w:p>
      <w:pPr>
        <w:pStyle w:val="5"/>
        <w:widowControl/>
        <w:numPr>
          <w:ilvl w:val="0"/>
          <w:numId w:val="5"/>
        </w:numPr>
        <w:spacing w:beforeAutospacing="0" w:afterAutospacing="0"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创新原理</w:t>
      </w:r>
    </w:p>
    <w:p>
      <w:pPr>
        <w:pStyle w:val="5"/>
        <w:widowControl/>
        <w:spacing w:beforeAutospacing="0" w:afterAutospacing="0"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第一节 管理创新的内涵</w:t>
      </w:r>
    </w:p>
    <w:p>
      <w:pPr>
        <w:pStyle w:val="5"/>
        <w:widowControl/>
        <w:spacing w:beforeAutospacing="0" w:afterAutospacing="0"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第二节 管理创新的类型与基本内容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62" w:firstLineChars="200"/>
        <w:textAlignment w:val="auto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三、试卷结构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（试卷总分为150分）</w:t>
      </w:r>
    </w:p>
    <w:tbl>
      <w:tblPr>
        <w:tblStyle w:val="7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8"/>
        <w:gridCol w:w="3204"/>
        <w:gridCol w:w="32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7" w:type="pct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序号</w:t>
            </w:r>
          </w:p>
        </w:tc>
        <w:tc>
          <w:tcPr>
            <w:tcW w:w="1880" w:type="pct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题型</w:t>
            </w:r>
          </w:p>
        </w:tc>
        <w:tc>
          <w:tcPr>
            <w:tcW w:w="1881" w:type="pct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题量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7" w:type="pct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1880" w:type="pct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单项选择题</w:t>
            </w:r>
          </w:p>
        </w:tc>
        <w:tc>
          <w:tcPr>
            <w:tcW w:w="1881" w:type="pct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7" w:type="pct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1880" w:type="pct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判断题</w:t>
            </w:r>
          </w:p>
        </w:tc>
        <w:tc>
          <w:tcPr>
            <w:tcW w:w="1881" w:type="pct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7" w:type="pct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</w:p>
        </w:tc>
        <w:tc>
          <w:tcPr>
            <w:tcW w:w="1880" w:type="pct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简答题</w:t>
            </w:r>
          </w:p>
        </w:tc>
        <w:tc>
          <w:tcPr>
            <w:tcW w:w="1881" w:type="pct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7" w:type="pct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</w:t>
            </w:r>
          </w:p>
        </w:tc>
        <w:tc>
          <w:tcPr>
            <w:tcW w:w="1880" w:type="pct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论述题</w:t>
            </w:r>
          </w:p>
        </w:tc>
        <w:tc>
          <w:tcPr>
            <w:tcW w:w="1881" w:type="pct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7" w:type="pct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</w:t>
            </w:r>
          </w:p>
        </w:tc>
        <w:tc>
          <w:tcPr>
            <w:tcW w:w="1880" w:type="pct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案例题</w:t>
            </w:r>
          </w:p>
        </w:tc>
        <w:tc>
          <w:tcPr>
            <w:tcW w:w="1881" w:type="pct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</w:tr>
    </w:tbl>
    <w:p>
      <w:pPr>
        <w:pStyle w:val="5"/>
        <w:widowControl/>
        <w:spacing w:beforeAutospacing="0" w:afterAutospacing="0" w:line="480" w:lineRule="auto"/>
        <w:rPr>
          <w:rFonts w:hint="eastAsia" w:ascii="仿宋" w:hAnsi="仿宋" w:eastAsia="仿宋" w:cs="仿宋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D4145C"/>
    <w:multiLevelType w:val="singleLevel"/>
    <w:tmpl w:val="81D4145C"/>
    <w:lvl w:ilvl="0" w:tentative="0">
      <w:start w:val="5"/>
      <w:numFmt w:val="chineseCounting"/>
      <w:suff w:val="space"/>
      <w:lvlText w:val="第%1章"/>
      <w:lvlJc w:val="left"/>
      <w:rPr>
        <w:rFonts w:hint="eastAsia"/>
      </w:rPr>
    </w:lvl>
  </w:abstractNum>
  <w:abstractNum w:abstractNumId="1">
    <w:nsid w:val="AA778D0B"/>
    <w:multiLevelType w:val="singleLevel"/>
    <w:tmpl w:val="AA778D0B"/>
    <w:lvl w:ilvl="0" w:tentative="0">
      <w:start w:val="13"/>
      <w:numFmt w:val="chineseCounting"/>
      <w:suff w:val="space"/>
      <w:lvlText w:val="第%1章"/>
      <w:lvlJc w:val="left"/>
      <w:rPr>
        <w:rFonts w:hint="eastAsia"/>
      </w:rPr>
    </w:lvl>
  </w:abstractNum>
  <w:abstractNum w:abstractNumId="2">
    <w:nsid w:val="B72DE27B"/>
    <w:multiLevelType w:val="singleLevel"/>
    <w:tmpl w:val="B72DE27B"/>
    <w:lvl w:ilvl="0" w:tentative="0">
      <w:start w:val="1"/>
      <w:numFmt w:val="chineseCounting"/>
      <w:suff w:val="space"/>
      <w:lvlText w:val="第%1节"/>
      <w:lvlJc w:val="left"/>
      <w:rPr>
        <w:rFonts w:hint="eastAsia"/>
      </w:rPr>
    </w:lvl>
  </w:abstractNum>
  <w:abstractNum w:abstractNumId="3">
    <w:nsid w:val="EDBD1C6F"/>
    <w:multiLevelType w:val="singleLevel"/>
    <w:tmpl w:val="EDBD1C6F"/>
    <w:lvl w:ilvl="0" w:tentative="0">
      <w:start w:val="8"/>
      <w:numFmt w:val="chineseCounting"/>
      <w:suff w:val="space"/>
      <w:lvlText w:val="第%1章"/>
      <w:lvlJc w:val="left"/>
      <w:rPr>
        <w:rFonts w:hint="eastAsia"/>
      </w:rPr>
    </w:lvl>
  </w:abstractNum>
  <w:abstractNum w:abstractNumId="4">
    <w:nsid w:val="744A4CF3"/>
    <w:multiLevelType w:val="singleLevel"/>
    <w:tmpl w:val="744A4CF3"/>
    <w:lvl w:ilvl="0" w:tentative="0">
      <w:start w:val="2"/>
      <w:numFmt w:val="chineseCounting"/>
      <w:suff w:val="space"/>
      <w:lvlText w:val="第%1节"/>
      <w:lvlJc w:val="left"/>
      <w:rPr>
        <w:rFonts w:hint="eastAsia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yOTlkZTBmZWY5ODhiMmQ4YThjODEzZGY3MGEzYzEifQ=="/>
  </w:docVars>
  <w:rsids>
    <w:rsidRoot w:val="070E5891"/>
    <w:rsid w:val="000667EA"/>
    <w:rsid w:val="000B54A5"/>
    <w:rsid w:val="000D5894"/>
    <w:rsid w:val="001045AB"/>
    <w:rsid w:val="00171DCD"/>
    <w:rsid w:val="001D0FB9"/>
    <w:rsid w:val="001F4FBC"/>
    <w:rsid w:val="0023013B"/>
    <w:rsid w:val="00267408"/>
    <w:rsid w:val="002F6EC3"/>
    <w:rsid w:val="0030706F"/>
    <w:rsid w:val="003071DB"/>
    <w:rsid w:val="003F79CB"/>
    <w:rsid w:val="0049112D"/>
    <w:rsid w:val="004929C2"/>
    <w:rsid w:val="004C4003"/>
    <w:rsid w:val="005A758B"/>
    <w:rsid w:val="005D7873"/>
    <w:rsid w:val="006A05EC"/>
    <w:rsid w:val="00721F1C"/>
    <w:rsid w:val="007C511C"/>
    <w:rsid w:val="00821643"/>
    <w:rsid w:val="008A1626"/>
    <w:rsid w:val="00911164"/>
    <w:rsid w:val="00945CCA"/>
    <w:rsid w:val="00985A15"/>
    <w:rsid w:val="009E100B"/>
    <w:rsid w:val="00A27191"/>
    <w:rsid w:val="00AE5400"/>
    <w:rsid w:val="00B53F9F"/>
    <w:rsid w:val="00C009AF"/>
    <w:rsid w:val="00C1574A"/>
    <w:rsid w:val="00C65F6A"/>
    <w:rsid w:val="00C75C22"/>
    <w:rsid w:val="00CF78EB"/>
    <w:rsid w:val="00DE5201"/>
    <w:rsid w:val="00E01C35"/>
    <w:rsid w:val="00E53F96"/>
    <w:rsid w:val="00EA0C04"/>
    <w:rsid w:val="00ED2E25"/>
    <w:rsid w:val="02366426"/>
    <w:rsid w:val="070E5891"/>
    <w:rsid w:val="07382643"/>
    <w:rsid w:val="0A8636FF"/>
    <w:rsid w:val="0AB3495D"/>
    <w:rsid w:val="0C4C66C5"/>
    <w:rsid w:val="141D03B9"/>
    <w:rsid w:val="1FBA77DD"/>
    <w:rsid w:val="39521830"/>
    <w:rsid w:val="435B4BCC"/>
    <w:rsid w:val="45576E13"/>
    <w:rsid w:val="46715B3E"/>
    <w:rsid w:val="49604E4A"/>
    <w:rsid w:val="53AC556D"/>
    <w:rsid w:val="587F4D73"/>
    <w:rsid w:val="630F4DA3"/>
    <w:rsid w:val="694845A6"/>
    <w:rsid w:val="6C6513B5"/>
    <w:rsid w:val="6FF834FD"/>
    <w:rsid w:val="78021C2E"/>
    <w:rsid w:val="7D8F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2"/>
    <w:qFormat/>
    <w:uiPriority w:val="0"/>
    <w:pPr>
      <w:autoSpaceDE w:val="0"/>
      <w:autoSpaceDN w:val="0"/>
      <w:adjustRightInd w:val="0"/>
      <w:ind w:left="270" w:hanging="270"/>
      <w:jc w:val="left"/>
      <w:outlineLvl w:val="1"/>
    </w:pPr>
    <w:rPr>
      <w:rFonts w:ascii="Times New Roman" w:hAnsi="Times New Roman" w:eastAsia="宋体" w:cs="Times New Roman"/>
      <w:color w:val="000000"/>
      <w:kern w:val="0"/>
      <w:sz w:val="32"/>
      <w:szCs w:val="32"/>
      <w:lang w:val="zh-CN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llowedHyperlink"/>
    <w:basedOn w:val="8"/>
    <w:qFormat/>
    <w:uiPriority w:val="0"/>
    <w:rPr>
      <w:color w:val="333333"/>
      <w:sz w:val="18"/>
      <w:szCs w:val="18"/>
      <w:u w:val="none"/>
    </w:rPr>
  </w:style>
  <w:style w:type="character" w:styleId="10">
    <w:name w:val="Hyperlink"/>
    <w:basedOn w:val="8"/>
    <w:qFormat/>
    <w:uiPriority w:val="0"/>
    <w:rPr>
      <w:color w:val="333333"/>
      <w:sz w:val="18"/>
      <w:szCs w:val="18"/>
      <w:u w:val="none"/>
    </w:rPr>
  </w:style>
  <w:style w:type="character" w:customStyle="1" w:styleId="11">
    <w:name w:val="biaoti31"/>
    <w:basedOn w:val="8"/>
    <w:qFormat/>
    <w:uiPriority w:val="0"/>
    <w:rPr>
      <w:b/>
      <w:color w:val="003D6C"/>
      <w:sz w:val="30"/>
      <w:szCs w:val="30"/>
    </w:rPr>
  </w:style>
  <w:style w:type="character" w:customStyle="1" w:styleId="12">
    <w:name w:val="标题 2 字符"/>
    <w:basedOn w:val="8"/>
    <w:link w:val="2"/>
    <w:qFormat/>
    <w:uiPriority w:val="0"/>
    <w:rPr>
      <w:color w:val="000000"/>
      <w:sz w:val="32"/>
      <w:szCs w:val="32"/>
      <w:lang w:val="zh-CN"/>
    </w:rPr>
  </w:style>
  <w:style w:type="paragraph" w:styleId="13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14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</w:rPr>
  </w:style>
  <w:style w:type="character" w:customStyle="1" w:styleId="15">
    <w:name w:val="页眉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页脚 字符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322</Words>
  <Characters>1839</Characters>
  <Lines>15</Lines>
  <Paragraphs>4</Paragraphs>
  <TotalTime>102</TotalTime>
  <ScaleCrop>false</ScaleCrop>
  <LinksUpToDate>false</LinksUpToDate>
  <CharactersWithSpaces>2157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2018-03-16T04:44:00Z</dcterms:created>
  <dc:creator>Administrator</dc:creator>
  <cp:lastModifiedBy>千金裘</cp:lastModifiedBy>
  <cp:lastPrinted>2018-03-14T00:35:00Z</cp:lastPrinted>
  <dcterms:modified xsi:type="dcterms:W3CDTF">2024-11-11T01:30:59Z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BDFAE1EF8E774F1BA2958536DD3ACEA1_13</vt:lpwstr>
  </property>
</Properties>
</file>